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67C9" w14:textId="77777777" w:rsidR="009E5818" w:rsidRPr="00090F4B" w:rsidRDefault="009E5818" w:rsidP="00A05292">
      <w:pPr>
        <w:spacing w:line="260" w:lineRule="atLeast"/>
        <w:ind w:right="396"/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t xml:space="preserve">Stato maggiore dell’uditore in capo </w:t>
      </w:r>
    </w:p>
    <w:p w14:paraId="0A10BFAC" w14:textId="403FBF43" w:rsidR="00D64668" w:rsidRPr="00090F4B" w:rsidRDefault="009E5818" w:rsidP="00A05292">
      <w:pPr>
        <w:spacing w:line="260" w:lineRule="atLeast"/>
        <w:ind w:right="396"/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t>Capo Istruzione</w:t>
      </w:r>
    </w:p>
    <w:p w14:paraId="3F95E487" w14:textId="77777777" w:rsidR="0055408F" w:rsidRPr="00090F4B" w:rsidRDefault="0055408F" w:rsidP="00A05292">
      <w:pPr>
        <w:spacing w:line="260" w:lineRule="atLeast"/>
        <w:ind w:right="396"/>
        <w:rPr>
          <w:rFonts w:ascii="Arial" w:hAnsi="Arial" w:cs="Arial"/>
          <w:lang w:val="it-CH"/>
        </w:rPr>
      </w:pPr>
    </w:p>
    <w:p w14:paraId="746CEDF9" w14:textId="77777777" w:rsidR="008D1B15" w:rsidRPr="00090F4B" w:rsidRDefault="008D1B15" w:rsidP="00A05292">
      <w:pPr>
        <w:spacing w:line="260" w:lineRule="atLeast"/>
        <w:ind w:right="396"/>
        <w:rPr>
          <w:rFonts w:ascii="Arial" w:hAnsi="Arial" w:cs="Arial"/>
          <w:lang w:val="it-CH"/>
        </w:rPr>
      </w:pPr>
    </w:p>
    <w:p w14:paraId="11F26EFB" w14:textId="77777777" w:rsidR="008D1B15" w:rsidRPr="00090F4B" w:rsidRDefault="008D1B15" w:rsidP="00A05292">
      <w:pPr>
        <w:spacing w:line="260" w:lineRule="atLeast"/>
        <w:ind w:right="396"/>
        <w:rPr>
          <w:rFonts w:ascii="Arial" w:hAnsi="Arial" w:cs="Arial"/>
          <w:lang w:val="it-CH"/>
        </w:rPr>
      </w:pPr>
    </w:p>
    <w:p w14:paraId="7E7687B9" w14:textId="5DEFC30F" w:rsidR="00C20CE1" w:rsidRPr="00090F4B" w:rsidRDefault="009E5818" w:rsidP="004D29D5">
      <w:pPr>
        <w:spacing w:after="240" w:line="260" w:lineRule="atLeast"/>
        <w:rPr>
          <w:rFonts w:ascii="Arial" w:hAnsi="Arial" w:cs="Arial"/>
          <w:sz w:val="24"/>
          <w:szCs w:val="24"/>
          <w:lang w:val="it-CH"/>
        </w:rPr>
      </w:pPr>
      <w:r w:rsidRPr="00090F4B">
        <w:rPr>
          <w:rFonts w:ascii="Arial" w:hAnsi="Arial" w:cs="Arial"/>
          <w:sz w:val="24"/>
          <w:szCs w:val="24"/>
          <w:lang w:val="it-CH"/>
        </w:rPr>
        <w:t>Codice penale militare, procedura penale militare e altre basi legali</w:t>
      </w:r>
    </w:p>
    <w:p w14:paraId="68ADA319" w14:textId="171B9B05" w:rsidR="00C20CE1" w:rsidRPr="00090F4B" w:rsidRDefault="009E5818" w:rsidP="009E5818">
      <w:pPr>
        <w:pStyle w:val="StandardWeb"/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b/>
          <w:bCs/>
          <w:sz w:val="28"/>
          <w:szCs w:val="28"/>
          <w:lang w:val="it-CH"/>
        </w:rPr>
        <w:t>Panoramica delle modifiche entrate in vigore dal 1° luglio 2024</w:t>
      </w:r>
    </w:p>
    <w:p w14:paraId="38BECDEB" w14:textId="003374FB" w:rsidR="002349CC" w:rsidRPr="00090F4B" w:rsidRDefault="002349CC" w:rsidP="002349CC">
      <w:pPr>
        <w:pStyle w:val="StandardWeb"/>
        <w:spacing w:before="0" w:beforeAutospacing="0" w:after="0" w:afterAutospacing="0"/>
        <w:rPr>
          <w:rFonts w:ascii="Arial" w:eastAsiaTheme="minorHAnsi" w:hAnsi="Arial" w:cs="Arial"/>
          <w:b/>
          <w:bCs/>
          <w:sz w:val="22"/>
          <w:szCs w:val="22"/>
          <w:lang w:val="it-CH" w:eastAsia="en-US"/>
        </w:rPr>
      </w:pPr>
      <w:r w:rsidRPr="00090F4B">
        <w:rPr>
          <w:rFonts w:ascii="Arial" w:eastAsiaTheme="minorHAnsi" w:hAnsi="Arial" w:cs="Arial"/>
          <w:b/>
          <w:bCs/>
          <w:sz w:val="22"/>
          <w:szCs w:val="22"/>
          <w:lang w:val="it-CH" w:eastAsia="en-US"/>
        </w:rPr>
        <w:t>Sommario del contenuto</w:t>
      </w:r>
    </w:p>
    <w:p w14:paraId="4E70751E" w14:textId="77777777" w:rsidR="00774615" w:rsidRPr="00090F4B" w:rsidRDefault="00774615" w:rsidP="00A05292">
      <w:pPr>
        <w:spacing w:line="260" w:lineRule="atLeast"/>
        <w:rPr>
          <w:rFonts w:ascii="Arial" w:hAnsi="Arial" w:cs="Arial"/>
          <w:lang w:val="it-CH"/>
        </w:rPr>
      </w:pPr>
    </w:p>
    <w:p w14:paraId="386F1F3F" w14:textId="77777777" w:rsidR="00090F4B" w:rsidRPr="00090F4B" w:rsidRDefault="007E64D4" w:rsidP="00090F4B">
      <w:pPr>
        <w:pStyle w:val="Verzeichnis1"/>
        <w:rPr>
          <w:rFonts w:eastAsiaTheme="minorEastAsia"/>
          <w:lang w:val="it-CH" w:eastAsia="de-CH"/>
        </w:rPr>
      </w:pPr>
      <w:r w:rsidRPr="00090F4B">
        <w:rPr>
          <w:lang w:val="it-CH"/>
        </w:rPr>
        <w:fldChar w:fldCharType="begin"/>
      </w:r>
      <w:r w:rsidRPr="00090F4B">
        <w:rPr>
          <w:lang w:val="it-CH"/>
        </w:rPr>
        <w:instrText xml:space="preserve"> TOC \o "1-3" \h \z \u </w:instrText>
      </w:r>
      <w:r w:rsidRPr="00090F4B">
        <w:rPr>
          <w:lang w:val="it-CH"/>
        </w:rPr>
        <w:fldChar w:fldCharType="separate"/>
      </w:r>
    </w:p>
    <w:sdt>
      <w:sdtPr>
        <w:rPr>
          <w:rFonts w:ascii="Arial" w:hAnsi="Arial" w:cs="Arial"/>
          <w:b/>
          <w:bCs/>
          <w:sz w:val="22"/>
          <w:szCs w:val="22"/>
          <w:lang w:val="it-CH"/>
        </w:rPr>
        <w:id w:val="80258108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lang w:eastAsia="en-US"/>
        </w:rPr>
      </w:sdtEndPr>
      <w:sdtContent>
        <w:p w14:paraId="1A0E7E38" w14:textId="14EF0585" w:rsidR="00090F4B" w:rsidRPr="00090F4B" w:rsidRDefault="00090F4B">
          <w:pPr>
            <w:pStyle w:val="Inhaltsverzeichnisberschrift"/>
            <w:rPr>
              <w:rFonts w:ascii="Arial" w:hAnsi="Arial" w:cs="Arial"/>
              <w:b/>
              <w:bCs/>
              <w:sz w:val="22"/>
              <w:szCs w:val="22"/>
              <w:lang w:val="it-CH"/>
            </w:rPr>
          </w:pPr>
          <w:r w:rsidRPr="00090F4B">
            <w:rPr>
              <w:rFonts w:ascii="Arial" w:hAnsi="Arial" w:cs="Arial"/>
              <w:b/>
              <w:bCs/>
              <w:sz w:val="22"/>
              <w:szCs w:val="22"/>
              <w:lang w:val="it-CH"/>
            </w:rPr>
            <w:t>Indice</w:t>
          </w:r>
        </w:p>
        <w:p w14:paraId="7E530551" w14:textId="67A64FFA" w:rsidR="00090F4B" w:rsidRPr="00090F4B" w:rsidRDefault="00090F4B" w:rsidP="00090F4B">
          <w:pPr>
            <w:pStyle w:val="Verzeichnis1"/>
            <w:jc w:val="left"/>
            <w:rPr>
              <w:rFonts w:eastAsiaTheme="minorEastAsia"/>
              <w:kern w:val="2"/>
              <w:sz w:val="24"/>
              <w:szCs w:val="24"/>
              <w:lang w:val="it-CH" w:eastAsia="de-CH"/>
              <w14:ligatures w14:val="standardContextual"/>
            </w:rPr>
          </w:pPr>
          <w:r w:rsidRPr="00090F4B">
            <w:rPr>
              <w:lang w:val="it-CH"/>
            </w:rPr>
            <w:fldChar w:fldCharType="begin"/>
          </w:r>
          <w:r w:rsidRPr="00090F4B">
            <w:rPr>
              <w:lang w:val="it-CH"/>
            </w:rPr>
            <w:instrText xml:space="preserve"> TOC \o "1-3" \h \z \u </w:instrText>
          </w:r>
          <w:r w:rsidRPr="00090F4B">
            <w:rPr>
              <w:lang w:val="it-CH"/>
            </w:rPr>
            <w:fldChar w:fldCharType="separate"/>
          </w:r>
          <w:hyperlink w:anchor="_Toc195801090" w:history="1">
            <w:r w:rsidRPr="00090F4B">
              <w:rPr>
                <w:rStyle w:val="Hyperlink"/>
                <w:lang w:val="it-CH"/>
              </w:rPr>
              <w:t>1</w:t>
            </w:r>
            <w:r w:rsidRPr="00090F4B">
              <w:rPr>
                <w:rFonts w:eastAsiaTheme="minorEastAsia"/>
                <w:kern w:val="2"/>
                <w:sz w:val="24"/>
                <w:szCs w:val="24"/>
                <w:lang w:val="it-CH" w:eastAsia="de-CH"/>
                <w14:ligatures w14:val="standardContextual"/>
              </w:rPr>
              <w:tab/>
            </w:r>
            <w:r w:rsidRPr="00090F4B">
              <w:rPr>
                <w:rStyle w:val="Hyperlink"/>
                <w:lang w:val="it-CH"/>
              </w:rPr>
              <w:t>Codice penale militare</w:t>
            </w:r>
            <w:r w:rsidRPr="00090F4B">
              <w:rPr>
                <w:b w:val="0"/>
                <w:bCs w:val="0"/>
                <w:webHidden/>
                <w:lang w:val="it-CH"/>
              </w:rPr>
              <w:tab/>
            </w:r>
            <w:r w:rsidRPr="00090F4B">
              <w:rPr>
                <w:webHidden/>
                <w:lang w:val="it-CH"/>
              </w:rPr>
              <w:fldChar w:fldCharType="begin"/>
            </w:r>
            <w:r w:rsidRPr="00090F4B">
              <w:rPr>
                <w:webHidden/>
                <w:lang w:val="it-CH"/>
              </w:rPr>
              <w:instrText xml:space="preserve"> PAGEREF _Toc195801090 \h </w:instrText>
            </w:r>
            <w:r w:rsidRPr="00090F4B">
              <w:rPr>
                <w:webHidden/>
                <w:lang w:val="it-CH"/>
              </w:rPr>
            </w:r>
            <w:r w:rsidRPr="00090F4B">
              <w:rPr>
                <w:webHidden/>
                <w:lang w:val="it-CH"/>
              </w:rPr>
              <w:fldChar w:fldCharType="separate"/>
            </w:r>
            <w:r w:rsidRPr="00090F4B">
              <w:rPr>
                <w:webHidden/>
                <w:lang w:val="it-CH"/>
              </w:rPr>
              <w:t>2</w:t>
            </w:r>
            <w:r w:rsidRPr="00090F4B">
              <w:rPr>
                <w:webHidden/>
                <w:lang w:val="it-CH"/>
              </w:rPr>
              <w:fldChar w:fldCharType="end"/>
            </w:r>
          </w:hyperlink>
        </w:p>
        <w:p w14:paraId="51FFF00F" w14:textId="160417E1" w:rsidR="00090F4B" w:rsidRPr="00090F4B" w:rsidRDefault="00090F4B" w:rsidP="00090F4B">
          <w:pPr>
            <w:pStyle w:val="Verzeichnis2"/>
            <w:tabs>
              <w:tab w:val="left" w:pos="567"/>
              <w:tab w:val="left" w:pos="720"/>
              <w:tab w:val="right" w:leader="dot" w:pos="9204"/>
            </w:tabs>
            <w:spacing w:after="0"/>
            <w:ind w:left="567" w:hanging="567"/>
            <w:jc w:val="left"/>
            <w:rPr>
              <w:rFonts w:eastAsiaTheme="minorEastAsia"/>
              <w:kern w:val="2"/>
              <w:sz w:val="24"/>
              <w:szCs w:val="24"/>
              <w:lang w:val="it-CH" w:eastAsia="de-CH"/>
              <w14:ligatures w14:val="standardContextual"/>
            </w:rPr>
          </w:pPr>
          <w:hyperlink w:anchor="_Toc195801091" w:history="1">
            <w:r w:rsidRPr="00090F4B">
              <w:rPr>
                <w:rStyle w:val="Hyperlink"/>
                <w:rFonts w:ascii="Arial" w:hAnsi="Arial" w:cs="Arial"/>
                <w:lang w:val="it-CH"/>
              </w:rPr>
              <w:t>1.1</w:t>
            </w:r>
            <w:r w:rsidRPr="00090F4B">
              <w:rPr>
                <w:rFonts w:eastAsiaTheme="minorEastAsia"/>
                <w:kern w:val="2"/>
                <w:sz w:val="24"/>
                <w:szCs w:val="24"/>
                <w:lang w:val="it-CH" w:eastAsia="de-CH"/>
                <w14:ligatures w14:val="standardContextual"/>
              </w:rPr>
              <w:tab/>
            </w:r>
            <w:r w:rsidRPr="00090F4B">
              <w:rPr>
                <w:rStyle w:val="Hyperlink"/>
                <w:rFonts w:ascii="Arial" w:hAnsi="Arial" w:cs="Arial"/>
                <w:lang w:val="it-CH"/>
              </w:rPr>
              <w:t xml:space="preserve">Modifiche del 1° luglio 2024 sulla base della legge federale sulla revisione del diritto </w:t>
            </w:r>
            <w:r w:rsidRPr="00090F4B">
              <w:rPr>
                <w:rStyle w:val="Hyperlink"/>
                <w:rFonts w:ascii="Arial" w:hAnsi="Arial" w:cs="Arial"/>
                <w:lang w:val="it-CH"/>
              </w:rPr>
              <w:br/>
              <w:t>penale in materia sessuale</w:t>
            </w:r>
            <w:r w:rsidRPr="00090F4B">
              <w:rPr>
                <w:webHidden/>
                <w:lang w:val="it-CH"/>
              </w:rPr>
              <w:tab/>
            </w:r>
            <w:r w:rsidRPr="00090F4B">
              <w:rPr>
                <w:webHidden/>
                <w:lang w:val="it-CH"/>
              </w:rPr>
              <w:fldChar w:fldCharType="begin"/>
            </w:r>
            <w:r w:rsidRPr="00090F4B">
              <w:rPr>
                <w:webHidden/>
                <w:lang w:val="it-CH"/>
              </w:rPr>
              <w:instrText xml:space="preserve"> PAGEREF _Toc195801091 \h </w:instrText>
            </w:r>
            <w:r w:rsidRPr="00090F4B">
              <w:rPr>
                <w:webHidden/>
                <w:lang w:val="it-CH"/>
              </w:rPr>
            </w:r>
            <w:r w:rsidRPr="00090F4B">
              <w:rPr>
                <w:webHidden/>
                <w:lang w:val="it-CH"/>
              </w:rPr>
              <w:fldChar w:fldCharType="separate"/>
            </w:r>
            <w:r w:rsidRPr="00090F4B">
              <w:rPr>
                <w:webHidden/>
                <w:lang w:val="it-CH"/>
              </w:rPr>
              <w:t>2</w:t>
            </w:r>
            <w:r w:rsidRPr="00090F4B">
              <w:rPr>
                <w:webHidden/>
                <w:lang w:val="it-CH"/>
              </w:rPr>
              <w:fldChar w:fldCharType="end"/>
            </w:r>
          </w:hyperlink>
        </w:p>
        <w:p w14:paraId="62A93E32" w14:textId="50BA8C38" w:rsidR="00090F4B" w:rsidRPr="00090F4B" w:rsidRDefault="00090F4B" w:rsidP="00090F4B">
          <w:pPr>
            <w:pStyle w:val="Verzeichnis2"/>
            <w:tabs>
              <w:tab w:val="left" w:pos="567"/>
              <w:tab w:val="left" w:pos="720"/>
              <w:tab w:val="right" w:leader="dot" w:pos="9204"/>
            </w:tabs>
            <w:spacing w:after="0"/>
            <w:ind w:left="567" w:hanging="567"/>
            <w:jc w:val="left"/>
            <w:rPr>
              <w:rStyle w:val="Hyperlink"/>
              <w:lang w:val="it-CH"/>
            </w:rPr>
          </w:pPr>
          <w:hyperlink w:anchor="_Toc195801092" w:history="1">
            <w:r w:rsidRPr="00090F4B">
              <w:rPr>
                <w:rStyle w:val="Hyperlink"/>
                <w:rFonts w:ascii="Arial" w:hAnsi="Arial" w:cs="Arial"/>
                <w:lang w:val="it-CH"/>
              </w:rPr>
              <w:t>1.2</w:t>
            </w:r>
            <w:r w:rsidRPr="00090F4B">
              <w:rPr>
                <w:rFonts w:eastAsiaTheme="minorEastAsia"/>
                <w:kern w:val="2"/>
                <w:sz w:val="24"/>
                <w:szCs w:val="24"/>
                <w:lang w:val="it-CH" w:eastAsia="de-CH"/>
                <w14:ligatures w14:val="standardContextual"/>
              </w:rPr>
              <w:tab/>
            </w:r>
            <w:r w:rsidRPr="00090F4B">
              <w:rPr>
                <w:rStyle w:val="Hyperlink"/>
                <w:rFonts w:ascii="Arial" w:hAnsi="Arial" w:cs="Arial"/>
                <w:lang w:val="it-CH"/>
              </w:rPr>
              <w:t>Modifica del 1° gennaio 2025 sulla base della legge federale sulla lotta contro l’abuso del fallimento</w:t>
            </w:r>
            <w:r w:rsidRPr="00090F4B">
              <w:rPr>
                <w:webHidden/>
                <w:lang w:val="it-CH"/>
              </w:rPr>
              <w:tab/>
            </w:r>
            <w:r w:rsidRPr="00090F4B">
              <w:rPr>
                <w:webHidden/>
                <w:lang w:val="it-CH"/>
              </w:rPr>
              <w:fldChar w:fldCharType="begin"/>
            </w:r>
            <w:r w:rsidRPr="00090F4B">
              <w:rPr>
                <w:webHidden/>
                <w:lang w:val="it-CH"/>
              </w:rPr>
              <w:instrText xml:space="preserve"> PAGEREF _Toc195801092 \h </w:instrText>
            </w:r>
            <w:r w:rsidRPr="00090F4B">
              <w:rPr>
                <w:webHidden/>
                <w:lang w:val="it-CH"/>
              </w:rPr>
            </w:r>
            <w:r w:rsidRPr="00090F4B">
              <w:rPr>
                <w:webHidden/>
                <w:lang w:val="it-CH"/>
              </w:rPr>
              <w:fldChar w:fldCharType="separate"/>
            </w:r>
            <w:r w:rsidRPr="00090F4B">
              <w:rPr>
                <w:webHidden/>
                <w:lang w:val="it-CH"/>
              </w:rPr>
              <w:t>9</w:t>
            </w:r>
            <w:r w:rsidRPr="00090F4B">
              <w:rPr>
                <w:webHidden/>
                <w:lang w:val="it-CH"/>
              </w:rPr>
              <w:fldChar w:fldCharType="end"/>
            </w:r>
          </w:hyperlink>
        </w:p>
        <w:p w14:paraId="710A3922" w14:textId="77777777" w:rsidR="00090F4B" w:rsidRPr="00090F4B" w:rsidRDefault="00090F4B" w:rsidP="00090F4B">
          <w:pPr>
            <w:jc w:val="left"/>
            <w:rPr>
              <w:lang w:val="it-CH"/>
            </w:rPr>
          </w:pPr>
        </w:p>
        <w:p w14:paraId="11C400B3" w14:textId="2272124E" w:rsidR="00090F4B" w:rsidRPr="00090F4B" w:rsidRDefault="00090F4B" w:rsidP="00090F4B">
          <w:pPr>
            <w:pStyle w:val="Verzeichnis1"/>
            <w:jc w:val="left"/>
            <w:rPr>
              <w:rFonts w:eastAsiaTheme="minorEastAsia"/>
              <w:kern w:val="2"/>
              <w:sz w:val="24"/>
              <w:szCs w:val="24"/>
              <w:lang w:val="it-CH" w:eastAsia="de-CH"/>
              <w14:ligatures w14:val="standardContextual"/>
            </w:rPr>
          </w:pPr>
          <w:hyperlink w:anchor="_Toc195801093" w:history="1">
            <w:r w:rsidRPr="00090F4B">
              <w:rPr>
                <w:rStyle w:val="Hyperlink"/>
                <w:lang w:val="it-CH"/>
              </w:rPr>
              <w:t>2</w:t>
            </w:r>
            <w:r w:rsidRPr="00090F4B">
              <w:rPr>
                <w:rFonts w:eastAsiaTheme="minorEastAsia"/>
                <w:kern w:val="2"/>
                <w:sz w:val="24"/>
                <w:szCs w:val="24"/>
                <w:lang w:val="it-CH" w:eastAsia="de-CH"/>
                <w14:ligatures w14:val="standardContextual"/>
              </w:rPr>
              <w:tab/>
            </w:r>
            <w:r w:rsidRPr="00090F4B">
              <w:rPr>
                <w:rStyle w:val="Hyperlink"/>
                <w:lang w:val="it-CH"/>
              </w:rPr>
              <w:t>Procedura penale militare</w:t>
            </w:r>
            <w:r w:rsidRPr="00090F4B">
              <w:rPr>
                <w:b w:val="0"/>
                <w:bCs w:val="0"/>
                <w:webHidden/>
                <w:lang w:val="it-CH"/>
              </w:rPr>
              <w:tab/>
            </w:r>
            <w:r w:rsidRPr="00090F4B">
              <w:rPr>
                <w:webHidden/>
                <w:lang w:val="it-CH"/>
              </w:rPr>
              <w:fldChar w:fldCharType="begin"/>
            </w:r>
            <w:r w:rsidRPr="00090F4B">
              <w:rPr>
                <w:webHidden/>
                <w:lang w:val="it-CH"/>
              </w:rPr>
              <w:instrText xml:space="preserve"> PAGEREF _Toc195801093 \h </w:instrText>
            </w:r>
            <w:r w:rsidRPr="00090F4B">
              <w:rPr>
                <w:webHidden/>
                <w:lang w:val="it-CH"/>
              </w:rPr>
            </w:r>
            <w:r w:rsidRPr="00090F4B">
              <w:rPr>
                <w:webHidden/>
                <w:lang w:val="it-CH"/>
              </w:rPr>
              <w:fldChar w:fldCharType="separate"/>
            </w:r>
            <w:r w:rsidRPr="00090F4B">
              <w:rPr>
                <w:webHidden/>
                <w:lang w:val="it-CH"/>
              </w:rPr>
              <w:t>10</w:t>
            </w:r>
            <w:r w:rsidRPr="00090F4B">
              <w:rPr>
                <w:webHidden/>
                <w:lang w:val="it-CH"/>
              </w:rPr>
              <w:fldChar w:fldCharType="end"/>
            </w:r>
          </w:hyperlink>
        </w:p>
        <w:p w14:paraId="275B8229" w14:textId="43E199CD" w:rsidR="00090F4B" w:rsidRPr="00090F4B" w:rsidRDefault="00090F4B" w:rsidP="00090F4B">
          <w:pPr>
            <w:pStyle w:val="Verzeichnis2"/>
            <w:tabs>
              <w:tab w:val="left" w:pos="567"/>
              <w:tab w:val="left" w:pos="720"/>
              <w:tab w:val="right" w:leader="dot" w:pos="9204"/>
            </w:tabs>
            <w:spacing w:after="0"/>
            <w:ind w:left="567" w:hanging="567"/>
            <w:jc w:val="left"/>
            <w:rPr>
              <w:rFonts w:eastAsiaTheme="minorEastAsia"/>
              <w:kern w:val="2"/>
              <w:sz w:val="24"/>
              <w:szCs w:val="24"/>
              <w:lang w:val="it-CH" w:eastAsia="de-CH"/>
              <w14:ligatures w14:val="standardContextual"/>
            </w:rPr>
          </w:pPr>
          <w:hyperlink w:anchor="_Toc195801094" w:history="1">
            <w:r w:rsidRPr="00090F4B">
              <w:rPr>
                <w:rStyle w:val="Hyperlink"/>
                <w:rFonts w:ascii="Arial" w:hAnsi="Arial" w:cs="Arial"/>
                <w:lang w:val="it-CH"/>
              </w:rPr>
              <w:t>2.1</w:t>
            </w:r>
            <w:r w:rsidRPr="00090F4B">
              <w:rPr>
                <w:rFonts w:eastAsiaTheme="minorEastAsia"/>
                <w:kern w:val="2"/>
                <w:sz w:val="24"/>
                <w:szCs w:val="24"/>
                <w:lang w:val="it-CH" w:eastAsia="de-CH"/>
                <w14:ligatures w14:val="standardContextual"/>
              </w:rPr>
              <w:tab/>
            </w:r>
            <w:r w:rsidRPr="00090F4B">
              <w:rPr>
                <w:rStyle w:val="Hyperlink"/>
                <w:rFonts w:ascii="Arial" w:hAnsi="Arial" w:cs="Arial"/>
                <w:lang w:val="it-CH"/>
              </w:rPr>
              <w:t>Modifiche del 1° gennaio 2025 con la modifica del CPP</w:t>
            </w:r>
            <w:r w:rsidRPr="00090F4B">
              <w:rPr>
                <w:webHidden/>
                <w:lang w:val="it-CH"/>
              </w:rPr>
              <w:tab/>
            </w:r>
            <w:r w:rsidRPr="00090F4B">
              <w:rPr>
                <w:webHidden/>
                <w:lang w:val="it-CH"/>
              </w:rPr>
              <w:fldChar w:fldCharType="begin"/>
            </w:r>
            <w:r w:rsidRPr="00090F4B">
              <w:rPr>
                <w:webHidden/>
                <w:lang w:val="it-CH"/>
              </w:rPr>
              <w:instrText xml:space="preserve"> PAGEREF _Toc195801094 \h </w:instrText>
            </w:r>
            <w:r w:rsidRPr="00090F4B">
              <w:rPr>
                <w:webHidden/>
                <w:lang w:val="it-CH"/>
              </w:rPr>
            </w:r>
            <w:r w:rsidRPr="00090F4B">
              <w:rPr>
                <w:webHidden/>
                <w:lang w:val="it-CH"/>
              </w:rPr>
              <w:fldChar w:fldCharType="separate"/>
            </w:r>
            <w:r w:rsidRPr="00090F4B">
              <w:rPr>
                <w:webHidden/>
                <w:lang w:val="it-CH"/>
              </w:rPr>
              <w:t>10</w:t>
            </w:r>
            <w:r w:rsidRPr="00090F4B">
              <w:rPr>
                <w:webHidden/>
                <w:lang w:val="it-CH"/>
              </w:rPr>
              <w:fldChar w:fldCharType="end"/>
            </w:r>
          </w:hyperlink>
        </w:p>
        <w:p w14:paraId="7C9D1C08" w14:textId="60E46CB1" w:rsidR="00090F4B" w:rsidRPr="00090F4B" w:rsidRDefault="00090F4B" w:rsidP="00090F4B">
          <w:pPr>
            <w:pStyle w:val="Verzeichnis2"/>
            <w:tabs>
              <w:tab w:val="left" w:pos="567"/>
              <w:tab w:val="left" w:pos="720"/>
              <w:tab w:val="right" w:leader="dot" w:pos="9204"/>
            </w:tabs>
            <w:spacing w:after="0"/>
            <w:ind w:left="567" w:hanging="567"/>
            <w:jc w:val="left"/>
            <w:rPr>
              <w:rFonts w:eastAsiaTheme="minorEastAsia"/>
              <w:kern w:val="2"/>
              <w:sz w:val="24"/>
              <w:szCs w:val="24"/>
              <w:lang w:val="it-CH" w:eastAsia="de-CH"/>
              <w14:ligatures w14:val="standardContextual"/>
            </w:rPr>
          </w:pPr>
          <w:hyperlink w:anchor="_Toc195801095" w:history="1">
            <w:r w:rsidRPr="00090F4B">
              <w:rPr>
                <w:rStyle w:val="Hyperlink"/>
                <w:rFonts w:ascii="Arial" w:hAnsi="Arial" w:cs="Arial"/>
                <w:lang w:val="it-CH"/>
              </w:rPr>
              <w:t>2.2</w:t>
            </w:r>
            <w:r w:rsidRPr="00090F4B">
              <w:rPr>
                <w:rFonts w:eastAsiaTheme="minorEastAsia"/>
                <w:kern w:val="2"/>
                <w:sz w:val="24"/>
                <w:szCs w:val="24"/>
                <w:lang w:val="it-CH" w:eastAsia="de-CH"/>
                <w14:ligatures w14:val="standardContextual"/>
              </w:rPr>
              <w:tab/>
            </w:r>
            <w:r w:rsidRPr="00090F4B">
              <w:rPr>
                <w:rStyle w:val="Hyperlink"/>
                <w:rFonts w:ascii="Arial" w:hAnsi="Arial" w:cs="Arial"/>
                <w:lang w:val="it-CH"/>
              </w:rPr>
              <w:t>Modifiche del 1° luglio 2025 sulla base della legge federale sulla revisione del diritto penale in materia sessuale</w:t>
            </w:r>
            <w:r w:rsidRPr="00090F4B">
              <w:rPr>
                <w:webHidden/>
                <w:lang w:val="it-CH"/>
              </w:rPr>
              <w:tab/>
            </w:r>
            <w:r w:rsidRPr="00090F4B">
              <w:rPr>
                <w:webHidden/>
                <w:lang w:val="it-CH"/>
              </w:rPr>
              <w:fldChar w:fldCharType="begin"/>
            </w:r>
            <w:r w:rsidRPr="00090F4B">
              <w:rPr>
                <w:webHidden/>
                <w:lang w:val="it-CH"/>
              </w:rPr>
              <w:instrText xml:space="preserve"> PAGEREF _Toc195801095 \h </w:instrText>
            </w:r>
            <w:r w:rsidRPr="00090F4B">
              <w:rPr>
                <w:webHidden/>
                <w:lang w:val="it-CH"/>
              </w:rPr>
            </w:r>
            <w:r w:rsidRPr="00090F4B">
              <w:rPr>
                <w:webHidden/>
                <w:lang w:val="it-CH"/>
              </w:rPr>
              <w:fldChar w:fldCharType="separate"/>
            </w:r>
            <w:r w:rsidRPr="00090F4B">
              <w:rPr>
                <w:webHidden/>
                <w:lang w:val="it-CH"/>
              </w:rPr>
              <w:t>11</w:t>
            </w:r>
            <w:r w:rsidRPr="00090F4B">
              <w:rPr>
                <w:webHidden/>
                <w:lang w:val="it-CH"/>
              </w:rPr>
              <w:fldChar w:fldCharType="end"/>
            </w:r>
          </w:hyperlink>
        </w:p>
        <w:p w14:paraId="32496780" w14:textId="5244F7FB" w:rsidR="00090F4B" w:rsidRPr="00090F4B" w:rsidRDefault="00090F4B" w:rsidP="00090F4B">
          <w:pPr>
            <w:pStyle w:val="Verzeichnis2"/>
            <w:tabs>
              <w:tab w:val="left" w:pos="567"/>
              <w:tab w:val="left" w:pos="720"/>
              <w:tab w:val="right" w:leader="dot" w:pos="9204"/>
            </w:tabs>
            <w:spacing w:after="0"/>
            <w:ind w:left="567" w:hanging="567"/>
            <w:jc w:val="left"/>
            <w:rPr>
              <w:rFonts w:eastAsiaTheme="minorEastAsia"/>
              <w:kern w:val="2"/>
              <w:sz w:val="24"/>
              <w:szCs w:val="24"/>
              <w:lang w:val="it-CH" w:eastAsia="de-CH"/>
              <w14:ligatures w14:val="standardContextual"/>
            </w:rPr>
          </w:pPr>
          <w:hyperlink w:anchor="_Toc195801096" w:history="1">
            <w:r w:rsidRPr="00090F4B">
              <w:rPr>
                <w:rStyle w:val="Hyperlink"/>
                <w:rFonts w:ascii="Arial" w:hAnsi="Arial" w:cs="Arial"/>
                <w:lang w:val="it-CH"/>
              </w:rPr>
              <w:t>2.3</w:t>
            </w:r>
            <w:r w:rsidRPr="00090F4B">
              <w:rPr>
                <w:rFonts w:eastAsiaTheme="minorEastAsia"/>
                <w:kern w:val="2"/>
                <w:sz w:val="24"/>
                <w:szCs w:val="24"/>
                <w:lang w:val="it-CH" w:eastAsia="de-CH"/>
                <w14:ligatures w14:val="standardContextual"/>
              </w:rPr>
              <w:tab/>
            </w:r>
            <w:r w:rsidRPr="00090F4B">
              <w:rPr>
                <w:rStyle w:val="Hyperlink"/>
                <w:rFonts w:ascii="Arial" w:hAnsi="Arial" w:cs="Arial"/>
                <w:lang w:val="it-CH"/>
              </w:rPr>
              <w:t>Modifica del 1° luglio 2025 sulla base della legge federale sulla promozione della formazione in cure infermieristiche</w:t>
            </w:r>
            <w:r w:rsidRPr="00090F4B">
              <w:rPr>
                <w:webHidden/>
                <w:lang w:val="it-CH"/>
              </w:rPr>
              <w:tab/>
            </w:r>
            <w:r w:rsidRPr="00090F4B">
              <w:rPr>
                <w:webHidden/>
                <w:lang w:val="it-CH"/>
              </w:rPr>
              <w:fldChar w:fldCharType="begin"/>
            </w:r>
            <w:r w:rsidRPr="00090F4B">
              <w:rPr>
                <w:webHidden/>
                <w:lang w:val="it-CH"/>
              </w:rPr>
              <w:instrText xml:space="preserve"> PAGEREF _Toc195801096 \h </w:instrText>
            </w:r>
            <w:r w:rsidRPr="00090F4B">
              <w:rPr>
                <w:webHidden/>
                <w:lang w:val="it-CH"/>
              </w:rPr>
            </w:r>
            <w:r w:rsidRPr="00090F4B">
              <w:rPr>
                <w:webHidden/>
                <w:lang w:val="it-CH"/>
              </w:rPr>
              <w:fldChar w:fldCharType="separate"/>
            </w:r>
            <w:r w:rsidRPr="00090F4B">
              <w:rPr>
                <w:webHidden/>
                <w:lang w:val="it-CH"/>
              </w:rPr>
              <w:t>12</w:t>
            </w:r>
            <w:r w:rsidRPr="00090F4B">
              <w:rPr>
                <w:webHidden/>
                <w:lang w:val="it-CH"/>
              </w:rPr>
              <w:fldChar w:fldCharType="end"/>
            </w:r>
          </w:hyperlink>
        </w:p>
        <w:p w14:paraId="390CE503" w14:textId="3AEA4308" w:rsidR="00090F4B" w:rsidRPr="00090F4B" w:rsidRDefault="00090F4B" w:rsidP="00090F4B">
          <w:pPr>
            <w:tabs>
              <w:tab w:val="left" w:pos="567"/>
            </w:tabs>
            <w:ind w:left="567" w:hanging="567"/>
            <w:jc w:val="left"/>
            <w:rPr>
              <w:lang w:val="it-CH"/>
            </w:rPr>
          </w:pPr>
          <w:r w:rsidRPr="00090F4B">
            <w:rPr>
              <w:b/>
              <w:bCs/>
              <w:lang w:val="it-CH"/>
            </w:rPr>
            <w:fldChar w:fldCharType="end"/>
          </w:r>
        </w:p>
      </w:sdtContent>
    </w:sdt>
    <w:p w14:paraId="355614DF" w14:textId="3750F90C" w:rsidR="0006153E" w:rsidRPr="00090F4B" w:rsidRDefault="0006153E" w:rsidP="00090F4B">
      <w:pPr>
        <w:pStyle w:val="Verzeichnis1"/>
        <w:rPr>
          <w:lang w:val="it-CH" w:eastAsia="de-CH"/>
        </w:rPr>
      </w:pPr>
    </w:p>
    <w:p w14:paraId="229C6879" w14:textId="426B8F12" w:rsidR="00774615" w:rsidRPr="00090F4B" w:rsidRDefault="007E64D4" w:rsidP="00A05292">
      <w:pPr>
        <w:spacing w:line="260" w:lineRule="atLeast"/>
        <w:rPr>
          <w:rFonts w:ascii="Arial" w:hAnsi="Arial" w:cs="Arial"/>
          <w:b/>
          <w:bCs/>
          <w:u w:val="single"/>
          <w:lang w:val="it-CH"/>
        </w:rPr>
      </w:pPr>
      <w:r w:rsidRPr="00090F4B">
        <w:rPr>
          <w:rFonts w:ascii="Arial" w:hAnsi="Arial" w:cs="Arial"/>
          <w:b/>
          <w:bCs/>
          <w:u w:val="single"/>
          <w:lang w:val="it-CH"/>
        </w:rPr>
        <w:fldChar w:fldCharType="end"/>
      </w:r>
      <w:r w:rsidR="00774615" w:rsidRPr="00090F4B">
        <w:rPr>
          <w:rFonts w:ascii="Arial" w:hAnsi="Arial" w:cs="Arial"/>
          <w:b/>
          <w:bCs/>
          <w:u w:val="single"/>
          <w:lang w:val="it-CH"/>
        </w:rPr>
        <w:br w:type="page"/>
      </w:r>
    </w:p>
    <w:p w14:paraId="5784FD6D" w14:textId="2D03609A" w:rsidR="00C06189" w:rsidRPr="00090F4B" w:rsidRDefault="002349CC" w:rsidP="0006153E">
      <w:pPr>
        <w:pStyle w:val="Titel1"/>
        <w:rPr>
          <w:rFonts w:ascii="Arial" w:hAnsi="Arial" w:cs="Arial"/>
          <w:lang w:val="it-CH"/>
        </w:rPr>
      </w:pPr>
      <w:bookmarkStart w:id="0" w:name="_Toc163474490"/>
      <w:bookmarkStart w:id="1" w:name="_Toc191470067"/>
      <w:bookmarkStart w:id="2" w:name="_Toc163474489"/>
      <w:bookmarkStart w:id="3" w:name="_Toc195801090"/>
      <w:r w:rsidRPr="00090F4B">
        <w:rPr>
          <w:rFonts w:ascii="Arial" w:hAnsi="Arial" w:cs="Arial"/>
          <w:lang w:val="it-CH"/>
        </w:rPr>
        <w:lastRenderedPageBreak/>
        <w:t>Codice penale militare</w:t>
      </w:r>
      <w:bookmarkEnd w:id="0"/>
      <w:bookmarkEnd w:id="1"/>
      <w:bookmarkEnd w:id="3"/>
    </w:p>
    <w:p w14:paraId="72C5C2E7" w14:textId="77777777" w:rsidR="00C06189" w:rsidRPr="00090F4B" w:rsidRDefault="00C06189" w:rsidP="00C06189">
      <w:pPr>
        <w:rPr>
          <w:rFonts w:ascii="Arial" w:hAnsi="Arial" w:cs="Arial"/>
          <w:lang w:val="it-CH"/>
        </w:rPr>
      </w:pPr>
    </w:p>
    <w:p w14:paraId="56BD8BF6" w14:textId="7A4AFDAD" w:rsidR="002349CC" w:rsidRPr="00090F4B" w:rsidRDefault="002349CC" w:rsidP="0006153E">
      <w:pPr>
        <w:pStyle w:val="Titel2"/>
        <w:rPr>
          <w:rFonts w:ascii="Arial" w:hAnsi="Arial" w:cs="Arial"/>
          <w:lang w:val="it-CH"/>
        </w:rPr>
      </w:pPr>
      <w:bookmarkStart w:id="4" w:name="_Toc191470068"/>
      <w:bookmarkStart w:id="5" w:name="_Toc195801091"/>
      <w:bookmarkEnd w:id="2"/>
      <w:r w:rsidRPr="00090F4B">
        <w:rPr>
          <w:rFonts w:ascii="Arial" w:hAnsi="Arial" w:cs="Arial"/>
          <w:lang w:val="it-CH"/>
        </w:rPr>
        <w:t>Modifiche del 1° luglio 2024 sulla base della legge federale sulla revisione del diritto penale in materia sessuale</w:t>
      </w:r>
      <w:bookmarkEnd w:id="4"/>
      <w:bookmarkEnd w:id="5"/>
    </w:p>
    <w:p w14:paraId="29F2CFAF" w14:textId="77777777" w:rsidR="002349CC" w:rsidRPr="00090F4B" w:rsidRDefault="002349CC" w:rsidP="002349CC">
      <w:pPr>
        <w:rPr>
          <w:rFonts w:ascii="Arial" w:hAnsi="Arial" w:cs="Arial"/>
          <w:lang w:val="it-CH"/>
        </w:rPr>
      </w:pPr>
    </w:p>
    <w:p w14:paraId="30049B0B" w14:textId="4FD39AA7" w:rsidR="002349CC" w:rsidRPr="00090F4B" w:rsidRDefault="002349CC" w:rsidP="002349CC">
      <w:pPr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t xml:space="preserve">Sulla base della legge federale </w:t>
      </w:r>
      <w:r w:rsidR="00086F1C" w:rsidRPr="00090F4B">
        <w:rPr>
          <w:rFonts w:ascii="Arial" w:hAnsi="Arial" w:cs="Arial"/>
          <w:lang w:val="it-CH"/>
        </w:rPr>
        <w:t xml:space="preserve">del 16 giugno 2023 </w:t>
      </w:r>
      <w:r w:rsidRPr="00090F4B">
        <w:rPr>
          <w:rFonts w:ascii="Arial" w:hAnsi="Arial" w:cs="Arial"/>
          <w:lang w:val="it-CH"/>
        </w:rPr>
        <w:t>sulla revisione del diritto penale in materia sessuale che modifica il diritto penale in materia sessuale, il Codice penale militare del 13 giugno 1927 è stato modificato in diversi punti. L</w:t>
      </w:r>
      <w:r w:rsidR="00086F1C" w:rsidRPr="00090F4B">
        <w:rPr>
          <w:rFonts w:ascii="Arial" w:hAnsi="Arial" w:cs="Arial"/>
          <w:lang w:val="it-CH"/>
        </w:rPr>
        <w:t>a revisione si prefigge di:</w:t>
      </w:r>
    </w:p>
    <w:p w14:paraId="16FF461E" w14:textId="77777777" w:rsidR="00583E8E" w:rsidRPr="00090F4B" w:rsidRDefault="00583E8E" w:rsidP="00A05292">
      <w:pPr>
        <w:spacing w:line="260" w:lineRule="atLeast"/>
        <w:rPr>
          <w:rFonts w:ascii="Arial" w:hAnsi="Arial" w:cs="Arial"/>
          <w:lang w:val="it-CH"/>
        </w:rPr>
      </w:pPr>
    </w:p>
    <w:p w14:paraId="7EFC67B2" w14:textId="08CEB13C" w:rsidR="00D35238" w:rsidRPr="00090F4B" w:rsidRDefault="00086F1C" w:rsidP="00D35238">
      <w:pPr>
        <w:pStyle w:val="Listenabsatz"/>
        <w:numPr>
          <w:ilvl w:val="0"/>
          <w:numId w:val="4"/>
        </w:numPr>
        <w:spacing w:after="0" w:line="260" w:lineRule="atLeast"/>
        <w:jc w:val="both"/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b/>
          <w:bCs/>
          <w:lang w:val="it-CH"/>
        </w:rPr>
        <w:t xml:space="preserve">estendere </w:t>
      </w:r>
      <w:proofErr w:type="gramStart"/>
      <w:r w:rsidRPr="00090F4B">
        <w:rPr>
          <w:rFonts w:ascii="Arial" w:hAnsi="Arial" w:cs="Arial"/>
          <w:b/>
          <w:bCs/>
          <w:lang w:val="it-CH"/>
        </w:rPr>
        <w:t>le</w:t>
      </w:r>
      <w:r w:rsidR="00D35238" w:rsidRPr="00090F4B">
        <w:rPr>
          <w:rFonts w:ascii="Arial" w:hAnsi="Arial" w:cs="Arial"/>
          <w:b/>
          <w:bCs/>
          <w:lang w:val="it-CH"/>
        </w:rPr>
        <w:t xml:space="preserve"> delle</w:t>
      </w:r>
      <w:proofErr w:type="gramEnd"/>
      <w:r w:rsidR="00D35238" w:rsidRPr="00090F4B">
        <w:rPr>
          <w:rFonts w:ascii="Arial" w:hAnsi="Arial" w:cs="Arial"/>
          <w:b/>
          <w:bCs/>
          <w:lang w:val="it-CH"/>
        </w:rPr>
        <w:t xml:space="preserve"> vigenti fattispecie della violenza carnale e della coazione sessuale:</w:t>
      </w:r>
    </w:p>
    <w:p w14:paraId="42FDFE76" w14:textId="77777777" w:rsidR="00D35238" w:rsidRPr="00090F4B" w:rsidRDefault="00D35238" w:rsidP="00D35238">
      <w:pPr>
        <w:pStyle w:val="Listenabsatz"/>
        <w:spacing w:after="0" w:line="260" w:lineRule="atLeast"/>
        <w:ind w:left="927"/>
        <w:jc w:val="both"/>
        <w:rPr>
          <w:rFonts w:ascii="Arial" w:hAnsi="Arial" w:cs="Arial"/>
          <w:lang w:val="it-CH"/>
        </w:rPr>
      </w:pPr>
    </w:p>
    <w:p w14:paraId="0292F268" w14:textId="1E252E9E" w:rsidR="00D35238" w:rsidRPr="00090F4B" w:rsidRDefault="00704BFD" w:rsidP="00D35238">
      <w:pPr>
        <w:pStyle w:val="StandardWeb"/>
        <w:numPr>
          <w:ilvl w:val="1"/>
          <w:numId w:val="4"/>
        </w:numPr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val="it-CH" w:eastAsia="en-US"/>
        </w:rPr>
      </w:pPr>
      <w:r w:rsidRPr="00090F4B">
        <w:rPr>
          <w:rFonts w:ascii="Arial" w:eastAsiaTheme="minorHAnsi" w:hAnsi="Arial" w:cs="Arial"/>
          <w:sz w:val="22"/>
          <w:szCs w:val="22"/>
          <w:lang w:val="it-CH" w:eastAsia="en-US"/>
        </w:rPr>
        <w:t>n</w:t>
      </w:r>
      <w:r w:rsidR="00D35238" w:rsidRPr="00090F4B">
        <w:rPr>
          <w:rFonts w:ascii="Arial" w:eastAsiaTheme="minorHAnsi" w:hAnsi="Arial" w:cs="Arial"/>
          <w:sz w:val="22"/>
          <w:szCs w:val="22"/>
          <w:lang w:val="it-CH" w:eastAsia="en-US"/>
        </w:rPr>
        <w:t xml:space="preserve">on è più necessario ricorrere a minacce o violenza affinché </w:t>
      </w:r>
      <w:r w:rsidR="00086F1C" w:rsidRPr="00090F4B">
        <w:rPr>
          <w:rFonts w:ascii="Arial" w:eastAsiaTheme="minorHAnsi" w:hAnsi="Arial" w:cs="Arial"/>
          <w:sz w:val="22"/>
          <w:szCs w:val="22"/>
          <w:lang w:val="it-CH" w:eastAsia="en-US"/>
        </w:rPr>
        <w:t xml:space="preserve">sia considerato </w:t>
      </w:r>
      <w:r w:rsidR="00D35238" w:rsidRPr="00090F4B">
        <w:rPr>
          <w:rFonts w:ascii="Arial" w:eastAsiaTheme="minorHAnsi" w:hAnsi="Arial" w:cs="Arial"/>
          <w:sz w:val="22"/>
          <w:szCs w:val="22"/>
          <w:lang w:val="it-CH" w:eastAsia="en-US"/>
        </w:rPr>
        <w:t xml:space="preserve">il reato </w:t>
      </w:r>
      <w:r w:rsidR="008C54C8" w:rsidRPr="00090F4B">
        <w:rPr>
          <w:rFonts w:ascii="Arial" w:eastAsiaTheme="minorHAnsi" w:hAnsi="Arial" w:cs="Arial"/>
          <w:sz w:val="22"/>
          <w:szCs w:val="22"/>
          <w:lang w:val="it-CH" w:eastAsia="en-US"/>
        </w:rPr>
        <w:t xml:space="preserve">di </w:t>
      </w:r>
      <w:r w:rsidR="00D35238" w:rsidRPr="00090F4B">
        <w:rPr>
          <w:rFonts w:ascii="Arial" w:eastAsiaTheme="minorHAnsi" w:hAnsi="Arial" w:cs="Arial"/>
          <w:sz w:val="22"/>
          <w:szCs w:val="22"/>
          <w:lang w:val="it-CH" w:eastAsia="en-US"/>
        </w:rPr>
        <w:t xml:space="preserve">violenza </w:t>
      </w:r>
      <w:r w:rsidR="008C54C8" w:rsidRPr="00090F4B">
        <w:rPr>
          <w:rFonts w:ascii="Arial" w:eastAsiaTheme="minorHAnsi" w:hAnsi="Arial" w:cs="Arial"/>
          <w:sz w:val="22"/>
          <w:szCs w:val="22"/>
          <w:lang w:val="it-CH" w:eastAsia="en-US"/>
        </w:rPr>
        <w:t xml:space="preserve">carnale </w:t>
      </w:r>
      <w:r w:rsidRPr="00090F4B">
        <w:rPr>
          <w:rFonts w:ascii="Arial" w:eastAsiaTheme="minorHAnsi" w:hAnsi="Arial" w:cs="Arial"/>
          <w:sz w:val="22"/>
          <w:szCs w:val="22"/>
          <w:lang w:val="it-CH" w:eastAsia="en-US"/>
        </w:rPr>
        <w:t>o di aggressione e coazione sessuali</w:t>
      </w:r>
      <w:r w:rsidR="008C54C8" w:rsidRPr="00090F4B">
        <w:rPr>
          <w:rFonts w:ascii="Arial" w:eastAsiaTheme="minorHAnsi" w:hAnsi="Arial" w:cs="Arial"/>
          <w:sz w:val="22"/>
          <w:szCs w:val="22"/>
          <w:lang w:val="it-CH" w:eastAsia="en-US"/>
        </w:rPr>
        <w:t>;</w:t>
      </w:r>
    </w:p>
    <w:p w14:paraId="5FBDB561" w14:textId="77777777" w:rsidR="00D35238" w:rsidRPr="00090F4B" w:rsidRDefault="00D35238" w:rsidP="00D35238">
      <w:pPr>
        <w:pStyle w:val="Standard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val="it-CH" w:eastAsia="en-US"/>
        </w:rPr>
      </w:pPr>
    </w:p>
    <w:p w14:paraId="1BD6317D" w14:textId="7C7209A9" w:rsidR="008C54C8" w:rsidRPr="00090F4B" w:rsidRDefault="00632F73" w:rsidP="00F35E47">
      <w:pPr>
        <w:pStyle w:val="Listenabsatz"/>
        <w:numPr>
          <w:ilvl w:val="1"/>
          <w:numId w:val="4"/>
        </w:numPr>
        <w:spacing w:after="0" w:line="260" w:lineRule="atLeast"/>
        <w:jc w:val="both"/>
        <w:rPr>
          <w:rFonts w:ascii="Arial" w:hAnsi="Arial" w:cs="Arial"/>
          <w:lang w:val="it-CH"/>
        </w:rPr>
      </w:pPr>
      <w:proofErr w:type="gramStart"/>
      <w:r w:rsidRPr="00090F4B">
        <w:rPr>
          <w:rFonts w:ascii="Arial" w:hAnsi="Arial" w:cs="Arial"/>
          <w:lang w:val="it-CH"/>
        </w:rPr>
        <w:t>(« No</w:t>
      </w:r>
      <w:proofErr w:type="gramEnd"/>
      <w:r w:rsidR="008C54C8" w:rsidRPr="00090F4B">
        <w:rPr>
          <w:rFonts w:ascii="Arial" w:hAnsi="Arial" w:cs="Arial"/>
          <w:lang w:val="it-CH"/>
        </w:rPr>
        <w:t xml:space="preserve"> significa </w:t>
      </w:r>
      <w:proofErr w:type="gramStart"/>
      <w:r w:rsidR="008C54C8" w:rsidRPr="00090F4B">
        <w:rPr>
          <w:rFonts w:ascii="Arial" w:hAnsi="Arial" w:cs="Arial"/>
          <w:lang w:val="it-CH"/>
        </w:rPr>
        <w:t>no</w:t>
      </w:r>
      <w:r w:rsidRPr="00090F4B">
        <w:rPr>
          <w:rFonts w:ascii="Arial" w:hAnsi="Arial" w:cs="Arial"/>
          <w:lang w:val="it-CH"/>
        </w:rPr>
        <w:t> »</w:t>
      </w:r>
      <w:proofErr w:type="gramEnd"/>
      <w:r w:rsidRPr="00090F4B">
        <w:rPr>
          <w:rFonts w:ascii="Arial" w:hAnsi="Arial" w:cs="Arial"/>
          <w:lang w:val="it-CH"/>
        </w:rPr>
        <w:t xml:space="preserve">). </w:t>
      </w:r>
      <w:r w:rsidR="008C54C8" w:rsidRPr="00090F4B">
        <w:rPr>
          <w:rFonts w:ascii="Arial" w:hAnsi="Arial" w:cs="Arial"/>
          <w:lang w:val="it-CH"/>
        </w:rPr>
        <w:t xml:space="preserve">Se la vittima è paralizzata dalla paura e non può quindi manifestare il proprio rifiuto né difendersi, l'autore sarà punito per </w:t>
      </w:r>
      <w:r w:rsidR="00704BFD" w:rsidRPr="00090F4B">
        <w:rPr>
          <w:rFonts w:ascii="Arial" w:hAnsi="Arial" w:cs="Arial"/>
          <w:lang w:val="it-CH"/>
        </w:rPr>
        <w:t xml:space="preserve">violenza carnale o di aggressione e coazione sessuali </w:t>
      </w:r>
      <w:r w:rsidR="008C54C8" w:rsidRPr="00090F4B">
        <w:rPr>
          <w:rFonts w:ascii="Arial" w:hAnsi="Arial" w:cs="Arial"/>
          <w:lang w:val="it-CH"/>
        </w:rPr>
        <w:t>se ha riconosciuto tale stato di choc;</w:t>
      </w:r>
    </w:p>
    <w:p w14:paraId="17D5E926" w14:textId="77777777" w:rsidR="00F35E47" w:rsidRPr="00090F4B" w:rsidRDefault="00F35E47" w:rsidP="008C54C8">
      <w:pPr>
        <w:spacing w:line="260" w:lineRule="atLeast"/>
        <w:rPr>
          <w:rFonts w:ascii="Arial" w:hAnsi="Arial" w:cs="Arial"/>
          <w:lang w:val="it-CH"/>
        </w:rPr>
      </w:pPr>
    </w:p>
    <w:p w14:paraId="65E381A0" w14:textId="3DE98172" w:rsidR="00F35E47" w:rsidRPr="00090F4B" w:rsidRDefault="008C54C8" w:rsidP="00F35E47">
      <w:pPr>
        <w:pStyle w:val="Listenabsatz"/>
        <w:numPr>
          <w:ilvl w:val="1"/>
          <w:numId w:val="4"/>
        </w:numPr>
        <w:spacing w:after="0" w:line="260" w:lineRule="atLeast"/>
        <w:jc w:val="both"/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t>la fattispecie della violenza carnale, inoltre, non comprenderà più soltanto la congiunzione carnale ma anche atti analoghi che implicano una penetrazione corporale</w:t>
      </w:r>
      <w:r w:rsidR="00A951DB" w:rsidRPr="00090F4B">
        <w:rPr>
          <w:rFonts w:ascii="Arial" w:hAnsi="Arial" w:cs="Arial"/>
          <w:lang w:val="it-CH"/>
        </w:rPr>
        <w:t>;</w:t>
      </w:r>
    </w:p>
    <w:p w14:paraId="63F0CA10" w14:textId="77777777" w:rsidR="00F35E47" w:rsidRPr="00090F4B" w:rsidRDefault="00F35E47" w:rsidP="00F35E47">
      <w:pPr>
        <w:pStyle w:val="Listenabsatz"/>
        <w:rPr>
          <w:rFonts w:ascii="Arial" w:hAnsi="Arial" w:cs="Arial"/>
          <w:lang w:val="it-CH"/>
        </w:rPr>
      </w:pPr>
    </w:p>
    <w:p w14:paraId="1A4DDD7F" w14:textId="50596B5E" w:rsidR="00F35E47" w:rsidRPr="00090F4B" w:rsidRDefault="000A050C" w:rsidP="00F35E47">
      <w:pPr>
        <w:pStyle w:val="Listenabsatz"/>
        <w:numPr>
          <w:ilvl w:val="1"/>
          <w:numId w:val="4"/>
        </w:numPr>
        <w:spacing w:after="0" w:line="260" w:lineRule="atLeast"/>
        <w:jc w:val="both"/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t>il</w:t>
      </w:r>
      <w:r w:rsidR="008C54C8" w:rsidRPr="00090F4B">
        <w:rPr>
          <w:rFonts w:ascii="Arial" w:hAnsi="Arial" w:cs="Arial"/>
          <w:lang w:val="it-CH"/>
        </w:rPr>
        <w:t xml:space="preserve"> genere dell'autore e della vittima </w:t>
      </w:r>
      <w:r w:rsidR="00086F1C" w:rsidRPr="00090F4B">
        <w:rPr>
          <w:rFonts w:ascii="Arial" w:hAnsi="Arial" w:cs="Arial"/>
          <w:lang w:val="it-CH"/>
        </w:rPr>
        <w:t xml:space="preserve">di violenza carnale </w:t>
      </w:r>
      <w:r w:rsidR="008C54C8" w:rsidRPr="00090F4B">
        <w:rPr>
          <w:rFonts w:ascii="Arial" w:hAnsi="Arial" w:cs="Arial"/>
          <w:lang w:val="it-CH"/>
        </w:rPr>
        <w:t>è irrilevante</w:t>
      </w:r>
      <w:r w:rsidR="00783B4C" w:rsidRPr="00090F4B">
        <w:rPr>
          <w:rFonts w:ascii="Arial" w:hAnsi="Arial" w:cs="Arial"/>
          <w:lang w:val="it-CH"/>
        </w:rPr>
        <w:t>;</w:t>
      </w:r>
    </w:p>
    <w:p w14:paraId="3837109A" w14:textId="77777777" w:rsidR="00F35E47" w:rsidRPr="00090F4B" w:rsidRDefault="00F35E47" w:rsidP="00F35E47">
      <w:pPr>
        <w:pStyle w:val="Listenabsatz"/>
        <w:rPr>
          <w:rFonts w:ascii="Arial" w:hAnsi="Arial" w:cs="Arial"/>
          <w:lang w:val="it-CH"/>
        </w:rPr>
      </w:pPr>
    </w:p>
    <w:p w14:paraId="58328609" w14:textId="3774679E" w:rsidR="000A050C" w:rsidRPr="00090F4B" w:rsidRDefault="00086F1C" w:rsidP="000A050C">
      <w:pPr>
        <w:pStyle w:val="Listenabsatz"/>
        <w:numPr>
          <w:ilvl w:val="1"/>
          <w:numId w:val="4"/>
        </w:numPr>
        <w:spacing w:after="0" w:line="260" w:lineRule="atLeast"/>
        <w:jc w:val="both"/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t>lo</w:t>
      </w:r>
      <w:r w:rsidR="00A951DB" w:rsidRPr="00090F4B">
        <w:rPr>
          <w:rFonts w:ascii="Arial" w:hAnsi="Arial" w:cs="Arial"/>
          <w:lang w:val="it-CH"/>
        </w:rPr>
        <w:t xml:space="preserve"> </w:t>
      </w:r>
      <w:proofErr w:type="spellStart"/>
      <w:r w:rsidR="00A951DB" w:rsidRPr="00090F4B">
        <w:rPr>
          <w:rFonts w:ascii="Arial" w:hAnsi="Arial" w:cs="Arial"/>
          <w:i/>
          <w:iCs/>
          <w:lang w:val="it-CH"/>
        </w:rPr>
        <w:t>stealthing</w:t>
      </w:r>
      <w:proofErr w:type="spellEnd"/>
      <w:r w:rsidR="00A951DB" w:rsidRPr="00090F4B">
        <w:rPr>
          <w:rFonts w:ascii="Arial" w:hAnsi="Arial" w:cs="Arial"/>
          <w:i/>
          <w:iCs/>
          <w:lang w:val="it-CH"/>
        </w:rPr>
        <w:t xml:space="preserve"> </w:t>
      </w:r>
      <w:r w:rsidR="00A951DB" w:rsidRPr="00090F4B">
        <w:rPr>
          <w:rFonts w:ascii="Arial" w:hAnsi="Arial" w:cs="Arial"/>
          <w:lang w:val="it-CH"/>
        </w:rPr>
        <w:t>(</w:t>
      </w:r>
      <w:r w:rsidR="000A050C" w:rsidRPr="00090F4B">
        <w:rPr>
          <w:rFonts w:ascii="Arial" w:hAnsi="Arial" w:cs="Arial"/>
          <w:lang w:val="it-CH"/>
        </w:rPr>
        <w:t>fatto di togliere o non usare sin dall'inizio il preservativo durante un atto sessuale di per sé consensuale, all'insaputa del partner o senza averne ottenuto il consenso</w:t>
      </w:r>
      <w:r w:rsidR="00A951DB" w:rsidRPr="00090F4B">
        <w:rPr>
          <w:rFonts w:ascii="Arial" w:hAnsi="Arial" w:cs="Arial"/>
          <w:lang w:val="it-CH"/>
        </w:rPr>
        <w:t xml:space="preserve">) </w:t>
      </w:r>
      <w:r w:rsidR="000A050C" w:rsidRPr="00090F4B">
        <w:rPr>
          <w:rFonts w:ascii="Arial" w:hAnsi="Arial" w:cs="Arial"/>
          <w:lang w:val="it-CH"/>
        </w:rPr>
        <w:t>è</w:t>
      </w:r>
      <w:r w:rsidR="00A951DB" w:rsidRPr="00090F4B">
        <w:rPr>
          <w:rFonts w:ascii="Arial" w:hAnsi="Arial" w:cs="Arial"/>
          <w:lang w:val="it-CH"/>
        </w:rPr>
        <w:t xml:space="preserve"> </w:t>
      </w:r>
      <w:r w:rsidR="000A050C" w:rsidRPr="00090F4B">
        <w:rPr>
          <w:rFonts w:ascii="Arial" w:hAnsi="Arial" w:cs="Arial"/>
          <w:lang w:val="it-CH"/>
        </w:rPr>
        <w:t>punito</w:t>
      </w:r>
      <w:r w:rsidR="00A951DB" w:rsidRPr="00090F4B">
        <w:rPr>
          <w:rFonts w:ascii="Arial" w:hAnsi="Arial" w:cs="Arial"/>
          <w:lang w:val="it-CH"/>
        </w:rPr>
        <w:t>.</w:t>
      </w:r>
    </w:p>
    <w:p w14:paraId="254CF20B" w14:textId="77777777" w:rsidR="000A050C" w:rsidRPr="00090F4B" w:rsidRDefault="000A050C" w:rsidP="000A050C">
      <w:pPr>
        <w:pStyle w:val="Listenabsatz"/>
        <w:rPr>
          <w:rFonts w:ascii="Arial" w:hAnsi="Arial" w:cs="Arial"/>
          <w:lang w:val="it-CH"/>
        </w:rPr>
      </w:pPr>
    </w:p>
    <w:p w14:paraId="08683E8D" w14:textId="33606821" w:rsidR="00F35E47" w:rsidRPr="00090F4B" w:rsidRDefault="00704BFD" w:rsidP="000A050C">
      <w:pPr>
        <w:pStyle w:val="Listenabsatz"/>
        <w:numPr>
          <w:ilvl w:val="0"/>
          <w:numId w:val="4"/>
        </w:numPr>
        <w:spacing w:after="0" w:line="260" w:lineRule="atLeast"/>
        <w:jc w:val="both"/>
        <w:rPr>
          <w:rFonts w:ascii="Arial" w:hAnsi="Arial" w:cs="Arial"/>
          <w:b/>
          <w:bCs/>
          <w:lang w:val="it-CH"/>
        </w:rPr>
      </w:pPr>
      <w:r w:rsidRPr="00090F4B">
        <w:rPr>
          <w:rFonts w:ascii="Arial" w:hAnsi="Arial" w:cs="Arial"/>
          <w:b/>
          <w:bCs/>
          <w:lang w:val="it-CH"/>
        </w:rPr>
        <w:t>i</w:t>
      </w:r>
      <w:r w:rsidR="000A050C" w:rsidRPr="00090F4B">
        <w:rPr>
          <w:rFonts w:ascii="Arial" w:hAnsi="Arial" w:cs="Arial"/>
          <w:b/>
          <w:bCs/>
          <w:lang w:val="it-CH"/>
        </w:rPr>
        <w:t>mpedire le recidive - proteggere le vittime</w:t>
      </w:r>
    </w:p>
    <w:p w14:paraId="6443BCA8" w14:textId="77777777" w:rsidR="000A050C" w:rsidRPr="00090F4B" w:rsidRDefault="000A050C" w:rsidP="000A050C">
      <w:pPr>
        <w:pStyle w:val="Listenabsatz"/>
        <w:spacing w:after="0" w:line="260" w:lineRule="atLeast"/>
        <w:ind w:left="927"/>
        <w:jc w:val="both"/>
        <w:rPr>
          <w:rFonts w:ascii="Arial" w:hAnsi="Arial" w:cs="Arial"/>
          <w:lang w:val="it-CH"/>
        </w:rPr>
      </w:pPr>
    </w:p>
    <w:p w14:paraId="73451B8E" w14:textId="4C5E52C8" w:rsidR="00A951DB" w:rsidRPr="00090F4B" w:rsidRDefault="000A050C" w:rsidP="00F35E47">
      <w:pPr>
        <w:pStyle w:val="Listenabsatz"/>
        <w:numPr>
          <w:ilvl w:val="1"/>
          <w:numId w:val="4"/>
        </w:numPr>
        <w:spacing w:after="0" w:line="260" w:lineRule="atLeast"/>
        <w:jc w:val="both"/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t>l’autore imputato di molestie sessuali può essere obbligato a seguire un programma rieducativo.</w:t>
      </w:r>
    </w:p>
    <w:p w14:paraId="64D9258C" w14:textId="77777777" w:rsidR="00774615" w:rsidRPr="00090F4B" w:rsidRDefault="00774615" w:rsidP="00A05292">
      <w:pPr>
        <w:spacing w:line="260" w:lineRule="atLeast"/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br w:type="page"/>
      </w:r>
    </w:p>
    <w:p w14:paraId="798269BC" w14:textId="2CD6FF6C" w:rsidR="00D64668" w:rsidRPr="00090F4B" w:rsidRDefault="005D251C" w:rsidP="00A05292">
      <w:pPr>
        <w:spacing w:line="260" w:lineRule="atLeast"/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lastRenderedPageBreak/>
        <w:t>Il Codice penale militare del 13 giugno 1927 è stato modificato come seguito</w:t>
      </w:r>
      <w:r w:rsidR="001B5820" w:rsidRPr="00090F4B">
        <w:rPr>
          <w:rFonts w:ascii="Arial" w:hAnsi="Arial" w:cs="Arial"/>
          <w:lang w:val="it-CH"/>
        </w:rPr>
        <w:t>:</w:t>
      </w:r>
      <w:r w:rsidR="001B5820" w:rsidRPr="00090F4B">
        <w:rPr>
          <w:rStyle w:val="Funotenzeichen"/>
          <w:rFonts w:ascii="Arial" w:hAnsi="Arial" w:cs="Arial"/>
          <w:lang w:val="it-CH"/>
        </w:rPr>
        <w:footnoteReference w:id="1"/>
      </w:r>
    </w:p>
    <w:p w14:paraId="1B1F577F" w14:textId="77777777" w:rsidR="008154F8" w:rsidRPr="00090F4B" w:rsidRDefault="008154F8" w:rsidP="00A05292">
      <w:pPr>
        <w:spacing w:line="260" w:lineRule="atLeast"/>
        <w:rPr>
          <w:rFonts w:ascii="Arial" w:hAnsi="Arial" w:cs="Arial"/>
          <w:lang w:val="it-CH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543"/>
        <w:gridCol w:w="5671"/>
      </w:tblGrid>
      <w:tr w:rsidR="008154F8" w:rsidRPr="00090F4B" w14:paraId="78154D36" w14:textId="77777777" w:rsidTr="00480D82">
        <w:tc>
          <w:tcPr>
            <w:tcW w:w="3543" w:type="dxa"/>
          </w:tcPr>
          <w:p w14:paraId="1C6C62E7" w14:textId="2DA90C7B" w:rsidR="00D64668" w:rsidRPr="00090F4B" w:rsidRDefault="005D251C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>Articolo</w:t>
            </w:r>
          </w:p>
        </w:tc>
        <w:tc>
          <w:tcPr>
            <w:tcW w:w="5671" w:type="dxa"/>
          </w:tcPr>
          <w:p w14:paraId="051B0180" w14:textId="686E2086" w:rsidR="00D64668" w:rsidRPr="00090F4B" w:rsidRDefault="005D251C" w:rsidP="00F34107">
            <w:pPr>
              <w:tabs>
                <w:tab w:val="left" w:pos="284"/>
                <w:tab w:val="left" w:pos="567"/>
              </w:tabs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>Modifica</w:t>
            </w:r>
          </w:p>
        </w:tc>
      </w:tr>
      <w:tr w:rsidR="008154F8" w:rsidRPr="00090F4B" w14:paraId="616EC00F" w14:textId="77777777" w:rsidTr="00480D82">
        <w:tc>
          <w:tcPr>
            <w:tcW w:w="3543" w:type="dxa"/>
          </w:tcPr>
          <w:p w14:paraId="643FF5EB" w14:textId="11708E55" w:rsidR="00D64668" w:rsidRPr="00090F4B" w:rsidRDefault="001B5820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Art. </w:t>
            </w:r>
            <w:r w:rsidR="00783B4C" w:rsidRPr="00090F4B">
              <w:rPr>
                <w:rFonts w:ascii="Arial" w:hAnsi="Arial" w:cs="Arial"/>
                <w:b/>
                <w:bCs/>
                <w:lang w:val="it-CH"/>
              </w:rPr>
              <w:t xml:space="preserve">49a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cpv.</w:t>
            </w:r>
            <w:r w:rsidR="00783B4C" w:rsidRPr="00090F4B">
              <w:rPr>
                <w:rFonts w:ascii="Arial" w:hAnsi="Arial" w:cs="Arial"/>
                <w:b/>
                <w:bCs/>
                <w:lang w:val="it-CH"/>
              </w:rPr>
              <w:t xml:space="preserve"> 1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lett.</w:t>
            </w:r>
            <w:r w:rsidR="00783B4C" w:rsidRPr="00090F4B">
              <w:rPr>
                <w:rFonts w:ascii="Arial" w:hAnsi="Arial" w:cs="Arial"/>
                <w:b/>
                <w:bCs/>
                <w:lang w:val="it-CH"/>
              </w:rPr>
              <w:t xml:space="preserve"> f</w:t>
            </w:r>
            <w:r w:rsidR="00F50357" w:rsidRPr="00090F4B">
              <w:rPr>
                <w:rFonts w:ascii="Arial" w:hAnsi="Arial" w:cs="Arial"/>
                <w:b/>
                <w:bCs/>
                <w:lang w:val="it-CH"/>
              </w:rPr>
              <w:t xml:space="preserve"> </w:t>
            </w:r>
            <w:r w:rsidR="002A0DA8" w:rsidRPr="00090F4B">
              <w:rPr>
                <w:rFonts w:ascii="Arial" w:hAnsi="Arial" w:cs="Arial"/>
                <w:b/>
                <w:bCs/>
                <w:lang w:val="it-CH"/>
              </w:rPr>
              <w:t>CPM</w:t>
            </w:r>
          </w:p>
          <w:p w14:paraId="04CA2865" w14:textId="6D1E39FA" w:rsidR="00D64668" w:rsidRPr="00090F4B" w:rsidRDefault="000A591F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Espulsione obbligatoria</w:t>
            </w:r>
          </w:p>
        </w:tc>
        <w:tc>
          <w:tcPr>
            <w:tcW w:w="5671" w:type="dxa"/>
          </w:tcPr>
          <w:p w14:paraId="762FA30C" w14:textId="70EBA35F" w:rsidR="002C78DE" w:rsidRPr="00090F4B" w:rsidRDefault="000A591F" w:rsidP="00F34107">
            <w:pPr>
              <w:pStyle w:val="absatz"/>
              <w:numPr>
                <w:ilvl w:val="4"/>
                <w:numId w:val="5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 w:line="26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090F4B">
              <w:rPr>
                <w:rFonts w:ascii="Arial" w:hAnsi="Arial" w:cs="Arial"/>
                <w:sz w:val="22"/>
                <w:szCs w:val="22"/>
                <w:lang w:val="it-CH"/>
              </w:rPr>
              <w:t>Il</w:t>
            </w:r>
            <w:r w:rsidR="002C78DE" w:rsidRPr="00090F4B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Pr="00090F4B">
              <w:rPr>
                <w:rFonts w:ascii="Arial" w:hAnsi="Arial" w:cs="Arial"/>
                <w:sz w:val="22"/>
                <w:szCs w:val="22"/>
                <w:lang w:val="it-CH"/>
              </w:rPr>
              <w:t xml:space="preserve">giudice espelle dal territorio svizzero per un tempo da cinque a quindici anni </w:t>
            </w:r>
            <w:proofErr w:type="spellStart"/>
            <w:r w:rsidRPr="00090F4B">
              <w:rPr>
                <w:rFonts w:ascii="Arial" w:hAnsi="Arial" w:cs="Arial"/>
                <w:sz w:val="22"/>
                <w:szCs w:val="22"/>
                <w:lang w:val="it-CH"/>
              </w:rPr>
              <w:t>anni</w:t>
            </w:r>
            <w:proofErr w:type="spellEnd"/>
            <w:r w:rsidRPr="00090F4B">
              <w:rPr>
                <w:rFonts w:ascii="Arial" w:hAnsi="Arial" w:cs="Arial"/>
                <w:sz w:val="22"/>
                <w:szCs w:val="22"/>
                <w:lang w:val="it-CH"/>
              </w:rPr>
              <w:t xml:space="preserve"> lo straniero condannato per uno dei seguenti reati, a prescindere dall’entità della pena inflitta</w:t>
            </w:r>
            <w:r w:rsidR="002C78DE" w:rsidRPr="00090F4B">
              <w:rPr>
                <w:rFonts w:ascii="Arial" w:hAnsi="Arial" w:cs="Arial"/>
                <w:sz w:val="22"/>
                <w:szCs w:val="22"/>
                <w:lang w:val="it-CH"/>
              </w:rPr>
              <w:t>:</w:t>
            </w:r>
          </w:p>
          <w:p w14:paraId="74C1A6B2" w14:textId="77777777" w:rsidR="00A05292" w:rsidRPr="00090F4B" w:rsidRDefault="00A05292" w:rsidP="00F34107">
            <w:pPr>
              <w:pStyle w:val="absatz"/>
              <w:shd w:val="clear" w:color="auto" w:fill="FFFFFF"/>
              <w:tabs>
                <w:tab w:val="left" w:pos="284"/>
              </w:tabs>
              <w:spacing w:before="0" w:beforeAutospacing="0" w:after="0" w:afterAutospacing="0" w:line="260" w:lineRule="atLeast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38989B3F" w14:textId="4424DF4B" w:rsidR="002C78DE" w:rsidRPr="00090F4B" w:rsidRDefault="002C78DE" w:rsidP="00F34107">
            <w:pPr>
              <w:pStyle w:val="absatz"/>
              <w:shd w:val="clear" w:color="auto" w:fill="FFFFFF"/>
              <w:tabs>
                <w:tab w:val="left" w:pos="284"/>
                <w:tab w:val="left" w:pos="567"/>
              </w:tabs>
              <w:spacing w:before="0" w:beforeAutospacing="0" w:after="0" w:afterAutospacing="0" w:line="260" w:lineRule="atLeast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090F4B">
              <w:rPr>
                <w:rFonts w:ascii="Arial" w:hAnsi="Arial" w:cs="Arial"/>
                <w:sz w:val="22"/>
                <w:szCs w:val="22"/>
                <w:lang w:val="it-CH"/>
              </w:rPr>
              <w:t>…</w:t>
            </w:r>
          </w:p>
          <w:p w14:paraId="559717FC" w14:textId="77777777" w:rsidR="00A05292" w:rsidRPr="00090F4B" w:rsidRDefault="00A05292" w:rsidP="00F34107">
            <w:pPr>
              <w:pStyle w:val="absatz"/>
              <w:shd w:val="clear" w:color="auto" w:fill="FFFFFF"/>
              <w:tabs>
                <w:tab w:val="left" w:pos="284"/>
                <w:tab w:val="left" w:pos="567"/>
              </w:tabs>
              <w:spacing w:before="0" w:beforeAutospacing="0" w:after="0" w:afterAutospacing="0" w:line="260" w:lineRule="atLeast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573D3032" w14:textId="11A6F78D" w:rsidR="00D64668" w:rsidRPr="00090F4B" w:rsidRDefault="000A591F" w:rsidP="00F34107">
            <w:pPr>
              <w:pStyle w:val="absatz"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360"/>
              </w:tabs>
              <w:spacing w:before="0" w:beforeAutospacing="0" w:after="120" w:afterAutospacing="0" w:line="26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090F4B">
              <w:rPr>
                <w:rFonts w:ascii="Arial" w:eastAsiaTheme="minorHAnsi" w:hAnsi="Arial" w:cs="Arial"/>
                <w:sz w:val="22"/>
                <w:szCs w:val="22"/>
                <w:lang w:val="it-CH" w:eastAsia="en-US"/>
              </w:rPr>
              <w:t xml:space="preserve">coazione sessuale (art. 153 </w:t>
            </w:r>
            <w:r w:rsidRPr="00090F4B">
              <w:rPr>
                <w:rFonts w:ascii="Arial" w:eastAsiaTheme="minorHAnsi" w:hAnsi="Arial" w:cs="Arial"/>
                <w:color w:val="FF0000"/>
                <w:sz w:val="22"/>
                <w:szCs w:val="22"/>
                <w:lang w:val="it-CH" w:eastAsia="en-US"/>
              </w:rPr>
              <w:t>cpv. 2 e 3</w:t>
            </w:r>
            <w:r w:rsidRPr="00090F4B">
              <w:rPr>
                <w:rFonts w:ascii="Arial" w:eastAsiaTheme="minorHAnsi" w:hAnsi="Arial" w:cs="Arial"/>
                <w:sz w:val="22"/>
                <w:szCs w:val="22"/>
                <w:lang w:val="it-CH" w:eastAsia="en-US"/>
              </w:rPr>
              <w:t xml:space="preserve">), violenza carnale (art. 154), atti sessuali con persone incapaci di discernimento o inette a resistere (art. 155), atti sessuali con fanciulli (art. 156 n. 1 </w:t>
            </w:r>
            <w:r w:rsidRPr="00090F4B">
              <w:rPr>
                <w:rFonts w:ascii="Arial" w:eastAsiaTheme="minorHAnsi" w:hAnsi="Arial" w:cs="Arial"/>
                <w:color w:val="FF0000"/>
                <w:sz w:val="22"/>
                <w:szCs w:val="22"/>
                <w:lang w:val="it-CH" w:eastAsia="en-US"/>
              </w:rPr>
              <w:t>e 1bis</w:t>
            </w:r>
            <w:r w:rsidRPr="00090F4B">
              <w:rPr>
                <w:rFonts w:ascii="Arial" w:eastAsiaTheme="minorHAnsi" w:hAnsi="Arial" w:cs="Arial"/>
                <w:sz w:val="22"/>
                <w:szCs w:val="22"/>
                <w:lang w:val="it-CH" w:eastAsia="en-US"/>
              </w:rPr>
              <w:t xml:space="preserve">), </w:t>
            </w:r>
            <w:r w:rsidRPr="00090F4B">
              <w:rPr>
                <w:rFonts w:ascii="Arial" w:eastAsiaTheme="minorHAnsi" w:hAnsi="Arial" w:cs="Arial"/>
                <w:color w:val="FF0000"/>
                <w:sz w:val="22"/>
                <w:szCs w:val="22"/>
                <w:lang w:val="it-CH" w:eastAsia="en-US"/>
              </w:rPr>
              <w:t>abuso della posizione militare (art. 157), inganno circa il carattere sessuale di un atto (art. 158)</w:t>
            </w:r>
            <w:r w:rsidRPr="00090F4B">
              <w:rPr>
                <w:rFonts w:ascii="Arial" w:eastAsiaTheme="minorHAnsi" w:hAnsi="Arial" w:cs="Arial"/>
                <w:sz w:val="22"/>
                <w:szCs w:val="22"/>
                <w:lang w:val="it-CH" w:eastAsia="en-US"/>
              </w:rPr>
              <w:t>;</w:t>
            </w:r>
          </w:p>
        </w:tc>
      </w:tr>
      <w:tr w:rsidR="00F50357" w:rsidRPr="00090F4B" w14:paraId="7F72C8F0" w14:textId="77777777" w:rsidTr="00480D82">
        <w:tc>
          <w:tcPr>
            <w:tcW w:w="3543" w:type="dxa"/>
          </w:tcPr>
          <w:p w14:paraId="70CAEDBE" w14:textId="794F9EA5" w:rsidR="00D64668" w:rsidRPr="00090F4B" w:rsidRDefault="001B5820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Art. </w:t>
            </w:r>
            <w:r w:rsidR="002C78DE" w:rsidRPr="00090F4B">
              <w:rPr>
                <w:rFonts w:ascii="Arial" w:hAnsi="Arial" w:cs="Arial"/>
                <w:b/>
                <w:bCs/>
                <w:lang w:val="it-CH"/>
              </w:rPr>
              <w:t xml:space="preserve">50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cpv.</w:t>
            </w:r>
            <w:r w:rsidR="002C78DE" w:rsidRPr="00090F4B">
              <w:rPr>
                <w:rFonts w:ascii="Arial" w:hAnsi="Arial" w:cs="Arial"/>
                <w:b/>
                <w:bCs/>
                <w:lang w:val="it-CH"/>
              </w:rPr>
              <w:t xml:space="preserve"> 3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lett.</w:t>
            </w:r>
            <w:r w:rsidR="002C78DE" w:rsidRPr="00090F4B">
              <w:rPr>
                <w:rFonts w:ascii="Arial" w:hAnsi="Arial" w:cs="Arial"/>
                <w:b/>
                <w:bCs/>
                <w:lang w:val="it-CH"/>
              </w:rPr>
              <w:t xml:space="preserve"> a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 CPM</w:t>
            </w:r>
          </w:p>
          <w:p w14:paraId="340F7A40" w14:textId="753B69B9" w:rsidR="00D64668" w:rsidRPr="00090F4B" w:rsidRDefault="00A03F11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Interdizione di esercitare un’attività, condizioni</w:t>
            </w:r>
          </w:p>
        </w:tc>
        <w:tc>
          <w:tcPr>
            <w:tcW w:w="5671" w:type="dxa"/>
          </w:tcPr>
          <w:p w14:paraId="5798C2A2" w14:textId="77777777" w:rsidR="00A03F11" w:rsidRPr="00090F4B" w:rsidRDefault="00A03F11" w:rsidP="00F34107">
            <w:pPr>
              <w:pStyle w:val="Listenabsatz"/>
              <w:numPr>
                <w:ilvl w:val="4"/>
                <w:numId w:val="9"/>
              </w:numPr>
              <w:tabs>
                <w:tab w:val="left" w:pos="284"/>
              </w:tabs>
              <w:spacing w:line="260" w:lineRule="atLeast"/>
              <w:ind w:left="0" w:firstLine="0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Se ad alcuno è stata inflitta una pena o una delle misure di cui agli articoli 59–61, 63 o 64 del Codice penale svizzero per aver commesso uno dei reati seguenti, il giudice gli interdice a vita l’esercizio di qualsiasi attività professionale o extraprofessionale organizzata implicante un contatto regolare con minorenni:</w:t>
            </w:r>
          </w:p>
          <w:p w14:paraId="4D41CB02" w14:textId="77777777" w:rsidR="002C78DE" w:rsidRPr="00090F4B" w:rsidRDefault="002C78DE" w:rsidP="00F34107">
            <w:pPr>
              <w:pStyle w:val="Listenabsatz"/>
              <w:tabs>
                <w:tab w:val="left" w:pos="284"/>
              </w:tabs>
              <w:spacing w:after="0" w:line="260" w:lineRule="atLeast"/>
              <w:ind w:left="0"/>
              <w:jc w:val="both"/>
              <w:rPr>
                <w:rFonts w:ascii="Arial" w:hAnsi="Arial" w:cs="Arial"/>
                <w:lang w:val="it-CH"/>
              </w:rPr>
            </w:pPr>
          </w:p>
          <w:p w14:paraId="26A68BB0" w14:textId="0D5C85C4" w:rsidR="00D64668" w:rsidRPr="00090F4B" w:rsidRDefault="00A03F11" w:rsidP="00F34107">
            <w:pPr>
              <w:pStyle w:val="Listenabsatz"/>
              <w:numPr>
                <w:ilvl w:val="0"/>
                <w:numId w:val="6"/>
              </w:numPr>
              <w:tabs>
                <w:tab w:val="left" w:pos="284"/>
              </w:tabs>
              <w:spacing w:after="0" w:line="260" w:lineRule="atLeast"/>
              <w:ind w:left="0" w:firstLine="0"/>
              <w:jc w:val="both"/>
              <w:rPr>
                <w:rFonts w:ascii="Arial" w:eastAsia="Times New Roman" w:hAnsi="Arial" w:cs="Arial"/>
                <w:lang w:val="it-CH" w:eastAsia="de-CH"/>
              </w:rPr>
            </w:pPr>
            <w:r w:rsidRPr="00090F4B">
              <w:rPr>
                <w:rFonts w:ascii="Arial" w:hAnsi="Arial" w:cs="Arial"/>
                <w:color w:val="FF0000"/>
                <w:lang w:val="it-CH"/>
              </w:rPr>
              <w:t xml:space="preserve">aggressione e </w:t>
            </w:r>
            <w:r w:rsidRPr="00090F4B">
              <w:rPr>
                <w:rFonts w:ascii="Arial" w:hAnsi="Arial" w:cs="Arial"/>
                <w:lang w:val="it-CH"/>
              </w:rPr>
              <w:t xml:space="preserve">coazione sessuali (art. 153), violenza carnale (art. 154), atti sessuali con persone incapaci di discernimento o inette a resistere (art. 155), abuso della posizione militare (art. 157),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 xml:space="preserve">inganno circa il carattere sessuale di un atto (art. 158), </w:t>
            </w:r>
            <w:r w:rsidRPr="00090F4B">
              <w:rPr>
                <w:rFonts w:ascii="Arial" w:hAnsi="Arial" w:cs="Arial"/>
                <w:lang w:val="it-CH"/>
              </w:rPr>
              <w:t>esibizionismo (art. 159), molestie sessuali (art. 159a), se la vittima è minorenne</w:t>
            </w:r>
            <w:r w:rsidR="002C78DE" w:rsidRPr="00090F4B">
              <w:rPr>
                <w:rFonts w:ascii="Arial" w:eastAsia="Times New Roman" w:hAnsi="Arial" w:cs="Arial"/>
                <w:lang w:val="it-CH" w:eastAsia="de-CH"/>
              </w:rPr>
              <w:t>;</w:t>
            </w:r>
          </w:p>
          <w:p w14:paraId="6E898459" w14:textId="77777777" w:rsidR="00A05292" w:rsidRPr="00090F4B" w:rsidRDefault="00A05292" w:rsidP="00F34107">
            <w:pPr>
              <w:pStyle w:val="Listenabsatz"/>
              <w:tabs>
                <w:tab w:val="left" w:pos="284"/>
              </w:tabs>
              <w:spacing w:after="0" w:line="260" w:lineRule="atLeast"/>
              <w:ind w:left="0"/>
              <w:jc w:val="both"/>
              <w:rPr>
                <w:rFonts w:ascii="Arial" w:eastAsia="Times New Roman" w:hAnsi="Arial" w:cs="Arial"/>
                <w:lang w:val="it-CH" w:eastAsia="de-CH"/>
              </w:rPr>
            </w:pPr>
          </w:p>
          <w:p w14:paraId="70978268" w14:textId="67E47557" w:rsidR="00A05292" w:rsidRPr="00090F4B" w:rsidRDefault="00A05292" w:rsidP="00F34107">
            <w:pPr>
              <w:tabs>
                <w:tab w:val="left" w:pos="284"/>
              </w:tabs>
              <w:spacing w:after="120" w:line="260" w:lineRule="atLeast"/>
              <w:rPr>
                <w:rFonts w:ascii="Arial" w:eastAsia="Times New Roman" w:hAnsi="Arial" w:cs="Arial"/>
                <w:lang w:val="it-CH" w:eastAsia="de-CH"/>
              </w:rPr>
            </w:pPr>
            <w:r w:rsidRPr="00090F4B">
              <w:rPr>
                <w:rFonts w:ascii="Arial" w:eastAsia="Times New Roman" w:hAnsi="Arial" w:cs="Arial"/>
                <w:lang w:val="it-CH" w:eastAsia="de-CH"/>
              </w:rPr>
              <w:t>…</w:t>
            </w:r>
          </w:p>
        </w:tc>
      </w:tr>
      <w:tr w:rsidR="00FC2690" w:rsidRPr="00090F4B" w14:paraId="70707CE5" w14:textId="77777777" w:rsidTr="00480D82">
        <w:tc>
          <w:tcPr>
            <w:tcW w:w="3543" w:type="dxa"/>
          </w:tcPr>
          <w:p w14:paraId="013CF2F9" w14:textId="4F119CB6" w:rsidR="002C78DE" w:rsidRPr="00090F4B" w:rsidRDefault="002C78DE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Art. 50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cpv.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 4 CPM</w:t>
            </w:r>
          </w:p>
          <w:p w14:paraId="7AE0024C" w14:textId="5630C7C1" w:rsidR="00D64668" w:rsidRPr="00090F4B" w:rsidRDefault="00713C32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Interdizione di esercitare un’attività, condizioni</w:t>
            </w:r>
          </w:p>
        </w:tc>
        <w:tc>
          <w:tcPr>
            <w:tcW w:w="5671" w:type="dxa"/>
          </w:tcPr>
          <w:p w14:paraId="1FFE0E1F" w14:textId="53D9391E" w:rsidR="00A05292" w:rsidRPr="00090F4B" w:rsidRDefault="00713C32" w:rsidP="00F34107">
            <w:pPr>
              <w:pStyle w:val="Listenabsatz"/>
              <w:numPr>
                <w:ilvl w:val="4"/>
                <w:numId w:val="8"/>
              </w:numPr>
              <w:tabs>
                <w:tab w:val="left" w:pos="284"/>
              </w:tabs>
              <w:spacing w:after="120" w:line="260" w:lineRule="atLeast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Se ad alcuno è stata inflitta una pena o una delle misure di cui agli articoli 59–61, 63 o 64 del Codice penale svizzero per aver commesso uno dei reati seguenti, il giudice gli interdice a vita l’esercizio di qualsiasi attività professionale o extraprofessionale organizzata implicante un contatto regolare con maggiorenni particolarmente vulnerabili nonché l’esercizio di qualsiasi attività professionale o extraprofessionale organizzata nel settore sanitario implicante un contatto diretto con i pazienti: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aggressione e</w:t>
            </w:r>
            <w:r w:rsidRPr="00090F4B">
              <w:rPr>
                <w:rFonts w:ascii="Arial" w:hAnsi="Arial" w:cs="Arial"/>
                <w:lang w:val="it-CH"/>
              </w:rPr>
              <w:t xml:space="preserve"> coazione sessuali (art. 153), violenza carnale (art. 154), atti sessuali con persone incapaci di discernimento o inette a resistere (art. 155), abuso della posizione militare (art. 157),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 xml:space="preserve">inganno circa il carattere sessuale di un atto (art. 158), </w:t>
            </w:r>
            <w:r w:rsidRPr="00090F4B">
              <w:rPr>
                <w:rFonts w:ascii="Arial" w:hAnsi="Arial" w:cs="Arial"/>
                <w:lang w:val="it-CH"/>
              </w:rPr>
              <w:t>esibizionismo (art. 159), molestie sessuali (art. 159a), se la vittima è</w:t>
            </w:r>
            <w:r w:rsidR="002C78DE" w:rsidRPr="00090F4B">
              <w:rPr>
                <w:rFonts w:ascii="Arial" w:hAnsi="Arial" w:cs="Arial"/>
                <w:lang w:val="it-CH"/>
              </w:rPr>
              <w:t>:</w:t>
            </w:r>
          </w:p>
        </w:tc>
      </w:tr>
    </w:tbl>
    <w:p w14:paraId="60CAEE79" w14:textId="77777777" w:rsidR="00713C32" w:rsidRPr="00090F4B" w:rsidRDefault="00713C32">
      <w:pPr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br w:type="page"/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543"/>
        <w:gridCol w:w="5671"/>
      </w:tblGrid>
      <w:tr w:rsidR="00983D85" w:rsidRPr="00090F4B" w14:paraId="4FCF96EA" w14:textId="77777777" w:rsidTr="00480D82">
        <w:tc>
          <w:tcPr>
            <w:tcW w:w="3543" w:type="dxa"/>
          </w:tcPr>
          <w:p w14:paraId="35B8B380" w14:textId="70197617" w:rsidR="002C78DE" w:rsidRPr="00090F4B" w:rsidRDefault="002C78DE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lastRenderedPageBreak/>
              <w:t xml:space="preserve">Art. 50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cpv.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 4</w:t>
            </w:r>
            <w:r w:rsidRPr="00090F4B">
              <w:rPr>
                <w:rFonts w:ascii="Arial" w:hAnsi="Arial" w:cs="Arial"/>
                <w:b/>
                <w:bCs/>
                <w:vertAlign w:val="superscript"/>
                <w:lang w:val="it-CH"/>
              </w:rPr>
              <w:t>bis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lett.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 a CPM</w:t>
            </w:r>
          </w:p>
          <w:p w14:paraId="59DC35AD" w14:textId="58C1450C" w:rsidR="00D64668" w:rsidRPr="00090F4B" w:rsidRDefault="00713C32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Interdizione di esercitare un’attività, condizioni</w:t>
            </w:r>
          </w:p>
        </w:tc>
        <w:tc>
          <w:tcPr>
            <w:tcW w:w="5671" w:type="dxa"/>
          </w:tcPr>
          <w:p w14:paraId="667B0E47" w14:textId="53239EDE" w:rsidR="002C78DE" w:rsidRPr="00090F4B" w:rsidRDefault="002C78DE" w:rsidP="00F34107">
            <w:pPr>
              <w:pStyle w:val="Listenabsatz"/>
              <w:tabs>
                <w:tab w:val="left" w:pos="284"/>
                <w:tab w:val="left" w:pos="454"/>
              </w:tabs>
              <w:spacing w:after="0" w:line="260" w:lineRule="atLeast"/>
              <w:ind w:left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4</w:t>
            </w:r>
            <w:r w:rsidRPr="00090F4B">
              <w:rPr>
                <w:rFonts w:ascii="Arial" w:hAnsi="Arial" w:cs="Arial"/>
                <w:vertAlign w:val="superscript"/>
                <w:lang w:val="it-CH"/>
              </w:rPr>
              <w:t>bis</w:t>
            </w:r>
            <w:r w:rsidR="00F34107" w:rsidRPr="00090F4B">
              <w:rPr>
                <w:rFonts w:ascii="Arial" w:hAnsi="Arial" w:cs="Arial"/>
                <w:vertAlign w:val="superscript"/>
                <w:lang w:val="it-CH"/>
              </w:rPr>
              <w:t xml:space="preserve"> </w:t>
            </w:r>
            <w:r w:rsidR="00F34107" w:rsidRPr="00090F4B">
              <w:rPr>
                <w:rFonts w:ascii="Arial" w:hAnsi="Arial" w:cs="Arial"/>
                <w:lang w:val="it-CH"/>
              </w:rPr>
              <w:tab/>
            </w:r>
            <w:r w:rsidR="00713C32" w:rsidRPr="00090F4B">
              <w:rPr>
                <w:rFonts w:ascii="Arial" w:hAnsi="Arial" w:cs="Arial"/>
                <w:lang w:val="it-CH"/>
              </w:rPr>
              <w:t xml:space="preserve">Nei casi di esigua gravità, il giudice può, a titolo eccezionale, prescindere dalla pronuncia di un’interdizione di esercitare un’attività secondo il capoverso 3 o 4, se non appare necessaria per trattenere l’autore dal commettere altri reati analoghi a quelli che hanno determinato l’interdizione. </w:t>
            </w:r>
            <w:proofErr w:type="gramStart"/>
            <w:r w:rsidR="00713C32" w:rsidRPr="00090F4B">
              <w:rPr>
                <w:rFonts w:ascii="Arial" w:hAnsi="Arial" w:cs="Arial"/>
                <w:lang w:val="it-CH"/>
              </w:rPr>
              <w:t>Tuttavia</w:t>
            </w:r>
            <w:proofErr w:type="gramEnd"/>
            <w:r w:rsidR="00713C32" w:rsidRPr="00090F4B">
              <w:rPr>
                <w:rFonts w:ascii="Arial" w:hAnsi="Arial" w:cs="Arial"/>
                <w:lang w:val="it-CH"/>
              </w:rPr>
              <w:t xml:space="preserve"> il giudice non può prescindere dalla pronuncia di un’interdizione di esercitare un’attività</w:t>
            </w:r>
            <w:r w:rsidRPr="00090F4B">
              <w:rPr>
                <w:rFonts w:ascii="Arial" w:hAnsi="Arial" w:cs="Arial"/>
                <w:lang w:val="it-CH"/>
              </w:rPr>
              <w:t>:</w:t>
            </w:r>
          </w:p>
          <w:p w14:paraId="72CA7102" w14:textId="77777777" w:rsidR="002C78DE" w:rsidRPr="00090F4B" w:rsidRDefault="002C78DE" w:rsidP="00F34107">
            <w:pPr>
              <w:tabs>
                <w:tab w:val="left" w:pos="284"/>
                <w:tab w:val="left" w:pos="454"/>
              </w:tabs>
              <w:spacing w:line="260" w:lineRule="atLeast"/>
              <w:rPr>
                <w:rFonts w:ascii="Arial" w:hAnsi="Arial" w:cs="Arial"/>
                <w:lang w:val="it-CH"/>
              </w:rPr>
            </w:pPr>
          </w:p>
          <w:p w14:paraId="3859BBFC" w14:textId="5CA234C4" w:rsidR="00D64668" w:rsidRPr="00090F4B" w:rsidRDefault="00713C32" w:rsidP="00F34107">
            <w:pPr>
              <w:pStyle w:val="Listenabsatz"/>
              <w:numPr>
                <w:ilvl w:val="0"/>
                <w:numId w:val="10"/>
              </w:numPr>
              <w:tabs>
                <w:tab w:val="left" w:pos="284"/>
                <w:tab w:val="left" w:pos="454"/>
              </w:tabs>
              <w:spacing w:after="0" w:line="260" w:lineRule="atLeast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in caso di coazione sessuale (art. 153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cpv. 2 e 3</w:t>
            </w:r>
            <w:r w:rsidRPr="00090F4B">
              <w:rPr>
                <w:rFonts w:ascii="Arial" w:hAnsi="Arial" w:cs="Arial"/>
                <w:lang w:val="it-CH"/>
              </w:rPr>
              <w:t xml:space="preserve">), violenza carnale (art. 154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cpv. 2 e 3</w:t>
            </w:r>
            <w:r w:rsidRPr="00090F4B">
              <w:rPr>
                <w:rFonts w:ascii="Arial" w:hAnsi="Arial" w:cs="Arial"/>
                <w:lang w:val="it-CH"/>
              </w:rPr>
              <w:t>) o atti sessuali con persone incapaci di discernimento o inette a resistere (art. 155); o</w:t>
            </w:r>
          </w:p>
          <w:p w14:paraId="03DF11AA" w14:textId="77777777" w:rsidR="00A05292" w:rsidRPr="00090F4B" w:rsidRDefault="00A05292" w:rsidP="00F34107">
            <w:pPr>
              <w:pStyle w:val="Listenabsatz"/>
              <w:tabs>
                <w:tab w:val="left" w:pos="284"/>
                <w:tab w:val="left" w:pos="454"/>
              </w:tabs>
              <w:spacing w:after="0" w:line="260" w:lineRule="atLeast"/>
              <w:ind w:left="0"/>
              <w:jc w:val="both"/>
              <w:rPr>
                <w:rFonts w:ascii="Arial" w:hAnsi="Arial" w:cs="Arial"/>
                <w:strike/>
                <w:color w:val="FF0000"/>
                <w:lang w:val="it-CH"/>
              </w:rPr>
            </w:pPr>
          </w:p>
          <w:p w14:paraId="0CF5E144" w14:textId="40698362" w:rsidR="00A05292" w:rsidRPr="00090F4B" w:rsidRDefault="00A05292" w:rsidP="00F34107">
            <w:pPr>
              <w:pStyle w:val="Listenabsatz"/>
              <w:tabs>
                <w:tab w:val="left" w:pos="284"/>
                <w:tab w:val="left" w:pos="454"/>
              </w:tabs>
              <w:spacing w:after="120" w:line="260" w:lineRule="atLeast"/>
              <w:ind w:left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…</w:t>
            </w:r>
          </w:p>
        </w:tc>
      </w:tr>
      <w:tr w:rsidR="00C4010D" w:rsidRPr="00090F4B" w14:paraId="13732DEA" w14:textId="77777777" w:rsidTr="00480D82">
        <w:tc>
          <w:tcPr>
            <w:tcW w:w="3543" w:type="dxa"/>
          </w:tcPr>
          <w:p w14:paraId="6D7C64F8" w14:textId="3A73F7A9" w:rsidR="00D64668" w:rsidRPr="00090F4B" w:rsidRDefault="008E0371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br w:type="page"/>
            </w:r>
            <w:r w:rsidR="001B5820" w:rsidRPr="00090F4B">
              <w:rPr>
                <w:rFonts w:ascii="Arial" w:hAnsi="Arial" w:cs="Arial"/>
                <w:b/>
                <w:bCs/>
                <w:lang w:val="it-CH"/>
              </w:rPr>
              <w:t xml:space="preserve">Art. </w:t>
            </w:r>
            <w:r w:rsidR="0069256E" w:rsidRPr="00090F4B">
              <w:rPr>
                <w:rFonts w:ascii="Arial" w:hAnsi="Arial" w:cs="Arial"/>
                <w:b/>
                <w:bCs/>
                <w:lang w:val="it-CH"/>
              </w:rPr>
              <w:t>55</w:t>
            </w:r>
            <w:r w:rsidR="00A05292" w:rsidRPr="00090F4B">
              <w:rPr>
                <w:rFonts w:ascii="Arial" w:hAnsi="Arial" w:cs="Arial"/>
                <w:b/>
                <w:bCs/>
                <w:lang w:val="it-CH"/>
              </w:rPr>
              <w:t xml:space="preserve">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cpv.</w:t>
            </w:r>
            <w:r w:rsidR="00A05292" w:rsidRPr="00090F4B">
              <w:rPr>
                <w:rFonts w:ascii="Arial" w:hAnsi="Arial" w:cs="Arial"/>
                <w:b/>
                <w:bCs/>
                <w:lang w:val="it-CH"/>
              </w:rPr>
              <w:t xml:space="preserve"> </w:t>
            </w:r>
            <w:r w:rsidR="0069256E" w:rsidRPr="00090F4B">
              <w:rPr>
                <w:rFonts w:ascii="Arial" w:hAnsi="Arial" w:cs="Arial"/>
                <w:b/>
                <w:bCs/>
                <w:lang w:val="it-CH"/>
              </w:rPr>
              <w:t>2</w:t>
            </w:r>
            <w:r w:rsidR="001B5820" w:rsidRPr="00090F4B">
              <w:rPr>
                <w:rFonts w:ascii="Arial" w:hAnsi="Arial" w:cs="Arial"/>
                <w:b/>
                <w:bCs/>
                <w:lang w:val="it-CH"/>
              </w:rPr>
              <w:t xml:space="preserve"> CPM</w:t>
            </w:r>
          </w:p>
          <w:p w14:paraId="583A65B8" w14:textId="14A4C01E" w:rsidR="00D64668" w:rsidRPr="00090F4B" w:rsidRDefault="00F85CEE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Prescrizione dell’azione penale; Termini</w:t>
            </w:r>
          </w:p>
        </w:tc>
        <w:tc>
          <w:tcPr>
            <w:tcW w:w="5671" w:type="dxa"/>
          </w:tcPr>
          <w:p w14:paraId="6785CF6B" w14:textId="74B30A0E" w:rsidR="00D64668" w:rsidRPr="00090F4B" w:rsidRDefault="00F85CEE" w:rsidP="00F34107">
            <w:pPr>
              <w:pStyle w:val="Listenabsatz"/>
              <w:numPr>
                <w:ilvl w:val="4"/>
                <w:numId w:val="11"/>
              </w:numPr>
              <w:tabs>
                <w:tab w:val="left" w:pos="284"/>
                <w:tab w:val="left" w:pos="454"/>
              </w:tabs>
              <w:spacing w:after="120" w:line="260" w:lineRule="atLeast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In caso di atti sessuali con fanciulli (art. 156) e di reati secondo gli articoli 115, 117, 121, 153–155,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157 e 158</w:t>
            </w:r>
            <w:r w:rsidRPr="00090F4B">
              <w:rPr>
                <w:rFonts w:ascii="Arial" w:hAnsi="Arial" w:cs="Arial"/>
                <w:lang w:val="it-CH"/>
              </w:rPr>
              <w:t xml:space="preserve"> commessi su fanciulli minori di sedici anni,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l’azione penale non si prescrive in nessun caso prima che la vittima abbia compiuto i venticinque anni</w:t>
            </w:r>
            <w:r w:rsidR="0069256E" w:rsidRPr="00090F4B">
              <w:rPr>
                <w:rFonts w:ascii="Arial" w:hAnsi="Arial" w:cs="Arial"/>
                <w:lang w:val="it-CH"/>
              </w:rPr>
              <w:t>.</w:t>
            </w:r>
          </w:p>
        </w:tc>
      </w:tr>
      <w:tr w:rsidR="00F748B9" w:rsidRPr="00090F4B" w14:paraId="08F2F3E6" w14:textId="77777777" w:rsidTr="00480D82">
        <w:tc>
          <w:tcPr>
            <w:tcW w:w="3543" w:type="dxa"/>
          </w:tcPr>
          <w:p w14:paraId="44B52F04" w14:textId="6D7D3DCE" w:rsidR="00D64668" w:rsidRPr="00090F4B" w:rsidRDefault="001B5820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Art. </w:t>
            </w:r>
            <w:r w:rsidR="0069256E" w:rsidRPr="00090F4B">
              <w:rPr>
                <w:rFonts w:ascii="Arial" w:hAnsi="Arial" w:cs="Arial"/>
                <w:b/>
                <w:bCs/>
                <w:lang w:val="it-CH"/>
              </w:rPr>
              <w:t xml:space="preserve">59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cpv.</w:t>
            </w:r>
            <w:r w:rsidR="0069256E" w:rsidRPr="00090F4B">
              <w:rPr>
                <w:rFonts w:ascii="Arial" w:hAnsi="Arial" w:cs="Arial"/>
                <w:b/>
                <w:bCs/>
                <w:lang w:val="it-CH"/>
              </w:rPr>
              <w:t xml:space="preserve"> 1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lett.</w:t>
            </w:r>
            <w:r w:rsidR="0069256E" w:rsidRPr="00090F4B">
              <w:rPr>
                <w:rFonts w:ascii="Arial" w:hAnsi="Arial" w:cs="Arial"/>
                <w:b/>
                <w:bCs/>
                <w:lang w:val="it-CH"/>
              </w:rPr>
              <w:t xml:space="preserve"> e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 CPM</w:t>
            </w:r>
          </w:p>
          <w:p w14:paraId="75D99174" w14:textId="4E5A3EC6" w:rsidR="00D64668" w:rsidRPr="00090F4B" w:rsidRDefault="00F85CEE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Imprescrittibilità</w:t>
            </w:r>
          </w:p>
        </w:tc>
        <w:tc>
          <w:tcPr>
            <w:tcW w:w="5671" w:type="dxa"/>
          </w:tcPr>
          <w:p w14:paraId="161F1E5A" w14:textId="6874C4C6" w:rsidR="0069256E" w:rsidRPr="00090F4B" w:rsidRDefault="00F85CEE" w:rsidP="00F34107">
            <w:pPr>
              <w:pStyle w:val="Listenabsatz"/>
              <w:numPr>
                <w:ilvl w:val="4"/>
                <w:numId w:val="12"/>
              </w:numPr>
              <w:tabs>
                <w:tab w:val="left" w:pos="284"/>
                <w:tab w:val="left" w:pos="454"/>
              </w:tabs>
              <w:spacing w:after="0" w:line="260" w:lineRule="atLeast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Sono imprescrittibili</w:t>
            </w:r>
            <w:r w:rsidR="0069256E" w:rsidRPr="00090F4B">
              <w:rPr>
                <w:rFonts w:ascii="Arial" w:hAnsi="Arial" w:cs="Arial"/>
                <w:lang w:val="it-CH"/>
              </w:rPr>
              <w:t>:</w:t>
            </w:r>
          </w:p>
          <w:p w14:paraId="65E39528" w14:textId="77777777" w:rsidR="00A05292" w:rsidRPr="00090F4B" w:rsidRDefault="00A05292" w:rsidP="00F34107">
            <w:pPr>
              <w:pStyle w:val="Listenabsatz"/>
              <w:tabs>
                <w:tab w:val="left" w:pos="284"/>
                <w:tab w:val="left" w:pos="454"/>
              </w:tabs>
              <w:spacing w:after="0" w:line="260" w:lineRule="atLeast"/>
              <w:ind w:left="0"/>
              <w:jc w:val="both"/>
              <w:rPr>
                <w:rFonts w:ascii="Arial" w:hAnsi="Arial" w:cs="Arial"/>
                <w:lang w:val="it-CH"/>
              </w:rPr>
            </w:pPr>
          </w:p>
          <w:p w14:paraId="6EC2CF55" w14:textId="66DE0E0C" w:rsidR="0069256E" w:rsidRPr="00090F4B" w:rsidRDefault="0069256E" w:rsidP="00F34107">
            <w:pPr>
              <w:tabs>
                <w:tab w:val="left" w:pos="284"/>
                <w:tab w:val="left" w:pos="454"/>
              </w:tabs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…</w:t>
            </w:r>
          </w:p>
          <w:p w14:paraId="6FCDDF7D" w14:textId="77777777" w:rsidR="00A05292" w:rsidRPr="00090F4B" w:rsidRDefault="00A05292" w:rsidP="00F34107">
            <w:pPr>
              <w:tabs>
                <w:tab w:val="left" w:pos="284"/>
                <w:tab w:val="left" w:pos="454"/>
              </w:tabs>
              <w:spacing w:line="260" w:lineRule="atLeast"/>
              <w:rPr>
                <w:rFonts w:ascii="Arial" w:hAnsi="Arial" w:cs="Arial"/>
                <w:lang w:val="it-CH"/>
              </w:rPr>
            </w:pPr>
          </w:p>
          <w:p w14:paraId="4757A8C9" w14:textId="3B54F6A3" w:rsidR="00D64668" w:rsidRPr="00090F4B" w:rsidRDefault="00F85CEE" w:rsidP="00F34107">
            <w:pPr>
              <w:pStyle w:val="Listenabsatz"/>
              <w:numPr>
                <w:ilvl w:val="0"/>
                <w:numId w:val="13"/>
              </w:numPr>
              <w:tabs>
                <w:tab w:val="left" w:pos="284"/>
                <w:tab w:val="left" w:pos="454"/>
              </w:tabs>
              <w:spacing w:after="120" w:line="260" w:lineRule="atLeast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color w:val="FF0000"/>
                <w:lang w:val="it-CH"/>
              </w:rPr>
              <w:t>l’aggressione e</w:t>
            </w:r>
            <w:r w:rsidRPr="00090F4B">
              <w:rPr>
                <w:rFonts w:ascii="Arial" w:hAnsi="Arial" w:cs="Arial"/>
                <w:lang w:val="it-CH"/>
              </w:rPr>
              <w:t xml:space="preserve"> la coazione sessuali (art. 153), la violenza carnale (art. 154), gli atti sessuali con persone incapaci di discernimento o inette a resistere (art. 155), gli atti sessuali con fanciulli (art. 156 n. 1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e 1bis</w:t>
            </w:r>
            <w:r w:rsidRPr="00090F4B">
              <w:rPr>
                <w:rFonts w:ascii="Arial" w:hAnsi="Arial" w:cs="Arial"/>
                <w:lang w:val="it-CH"/>
              </w:rPr>
              <w:t xml:space="preserve">), l’abuso della posizione militare (art. 157)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e l’inganno circa il carattere sessuale di un atto (art. 158),</w:t>
            </w:r>
            <w:r w:rsidRPr="00090F4B">
              <w:rPr>
                <w:rFonts w:ascii="Arial" w:hAnsi="Arial" w:cs="Arial"/>
                <w:lang w:val="it-CH"/>
              </w:rPr>
              <w:t xml:space="preserve"> se commessi su fanciulli minori di dodici anni</w:t>
            </w:r>
            <w:r w:rsidR="0069256E" w:rsidRPr="00090F4B">
              <w:rPr>
                <w:rFonts w:ascii="Arial" w:hAnsi="Arial" w:cs="Arial"/>
                <w:lang w:val="it-CH"/>
              </w:rPr>
              <w:t>.</w:t>
            </w:r>
          </w:p>
        </w:tc>
      </w:tr>
      <w:tr w:rsidR="00E85320" w:rsidRPr="00090F4B" w14:paraId="7B0C5301" w14:textId="77777777" w:rsidTr="00480D82">
        <w:tc>
          <w:tcPr>
            <w:tcW w:w="3543" w:type="dxa"/>
          </w:tcPr>
          <w:p w14:paraId="6B837FF7" w14:textId="69294AD6" w:rsidR="00D64668" w:rsidRPr="00090F4B" w:rsidRDefault="00480D82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br w:type="page"/>
            </w:r>
            <w:r w:rsidR="001B5820" w:rsidRPr="00090F4B">
              <w:rPr>
                <w:rFonts w:ascii="Arial" w:hAnsi="Arial" w:cs="Arial"/>
                <w:b/>
                <w:bCs/>
                <w:lang w:val="it-CH"/>
              </w:rPr>
              <w:t xml:space="preserve">Art. </w:t>
            </w:r>
            <w:r w:rsidR="0069256E" w:rsidRPr="00090F4B">
              <w:rPr>
                <w:rFonts w:ascii="Arial" w:hAnsi="Arial" w:cs="Arial"/>
                <w:b/>
                <w:bCs/>
                <w:lang w:val="it-CH"/>
              </w:rPr>
              <w:t xml:space="preserve">109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cpv.</w:t>
            </w:r>
            <w:r w:rsidR="0069256E" w:rsidRPr="00090F4B">
              <w:rPr>
                <w:rFonts w:ascii="Arial" w:hAnsi="Arial" w:cs="Arial"/>
                <w:b/>
                <w:bCs/>
                <w:lang w:val="it-CH"/>
              </w:rPr>
              <w:t xml:space="preserve"> 1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lett.</w:t>
            </w:r>
            <w:r w:rsidR="0069256E" w:rsidRPr="00090F4B">
              <w:rPr>
                <w:rFonts w:ascii="Arial" w:hAnsi="Arial" w:cs="Arial"/>
                <w:b/>
                <w:bCs/>
                <w:lang w:val="it-CH"/>
              </w:rPr>
              <w:t xml:space="preserve"> g</w:t>
            </w:r>
            <w:r w:rsidR="001B5820" w:rsidRPr="00090F4B">
              <w:rPr>
                <w:rFonts w:ascii="Arial" w:hAnsi="Arial" w:cs="Arial"/>
                <w:b/>
                <w:bCs/>
                <w:lang w:val="it-CH"/>
              </w:rPr>
              <w:t xml:space="preserve"> CPM</w:t>
            </w:r>
          </w:p>
          <w:p w14:paraId="2ED11686" w14:textId="79575FB9" w:rsidR="00D64668" w:rsidRPr="00090F4B" w:rsidRDefault="00F85CEE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Crimini contro l’umanità – Lesione dell’autodeterminazione sessuale</w:t>
            </w:r>
          </w:p>
        </w:tc>
        <w:tc>
          <w:tcPr>
            <w:tcW w:w="5671" w:type="dxa"/>
          </w:tcPr>
          <w:p w14:paraId="6631D96E" w14:textId="639F67EE" w:rsidR="0069256E" w:rsidRPr="00090F4B" w:rsidRDefault="00F85CEE" w:rsidP="00F34107">
            <w:pPr>
              <w:pStyle w:val="Listenabsatz"/>
              <w:numPr>
                <w:ilvl w:val="4"/>
                <w:numId w:val="14"/>
              </w:numPr>
              <w:tabs>
                <w:tab w:val="left" w:pos="284"/>
                <w:tab w:val="left" w:pos="454"/>
              </w:tabs>
              <w:spacing w:after="0" w:line="260" w:lineRule="atLeast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Chiunque, nell’ambito di un attacco esteso o sistematico contro popolazioni civili</w:t>
            </w:r>
            <w:r w:rsidR="0069256E" w:rsidRPr="00090F4B">
              <w:rPr>
                <w:rFonts w:ascii="Arial" w:hAnsi="Arial" w:cs="Arial"/>
                <w:lang w:val="it-CH"/>
              </w:rPr>
              <w:t>:</w:t>
            </w:r>
          </w:p>
          <w:p w14:paraId="24213959" w14:textId="77777777" w:rsidR="00A05292" w:rsidRPr="00090F4B" w:rsidRDefault="00A05292" w:rsidP="00F34107">
            <w:pPr>
              <w:pStyle w:val="Listenabsatz"/>
              <w:tabs>
                <w:tab w:val="left" w:pos="284"/>
                <w:tab w:val="left" w:pos="454"/>
              </w:tabs>
              <w:spacing w:after="0" w:line="260" w:lineRule="atLeast"/>
              <w:ind w:left="0"/>
              <w:jc w:val="both"/>
              <w:rPr>
                <w:rFonts w:ascii="Arial" w:hAnsi="Arial" w:cs="Arial"/>
                <w:lang w:val="it-CH"/>
              </w:rPr>
            </w:pPr>
          </w:p>
          <w:p w14:paraId="3DF3B36E" w14:textId="6CC78C71" w:rsidR="00A05292" w:rsidRPr="00090F4B" w:rsidRDefault="0069256E" w:rsidP="00F34107">
            <w:pPr>
              <w:tabs>
                <w:tab w:val="left" w:pos="284"/>
                <w:tab w:val="left" w:pos="454"/>
              </w:tabs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…</w:t>
            </w:r>
          </w:p>
          <w:p w14:paraId="3E63C8A2" w14:textId="77777777" w:rsidR="00A05292" w:rsidRPr="00090F4B" w:rsidRDefault="00A05292" w:rsidP="00F34107">
            <w:pPr>
              <w:tabs>
                <w:tab w:val="left" w:pos="284"/>
                <w:tab w:val="left" w:pos="454"/>
              </w:tabs>
              <w:spacing w:line="260" w:lineRule="atLeast"/>
              <w:rPr>
                <w:rFonts w:ascii="Arial" w:hAnsi="Arial" w:cs="Arial"/>
                <w:lang w:val="it-CH"/>
              </w:rPr>
            </w:pPr>
          </w:p>
          <w:p w14:paraId="443331DA" w14:textId="5F84C77E" w:rsidR="00D64668" w:rsidRPr="00090F4B" w:rsidRDefault="00F85CEE" w:rsidP="00F34107">
            <w:pPr>
              <w:pStyle w:val="Listenabsatz"/>
              <w:numPr>
                <w:ilvl w:val="0"/>
                <w:numId w:val="15"/>
              </w:numPr>
              <w:tabs>
                <w:tab w:val="left" w:pos="284"/>
                <w:tab w:val="left" w:pos="454"/>
              </w:tabs>
              <w:spacing w:after="120" w:line="260" w:lineRule="atLeast"/>
              <w:ind w:left="0" w:firstLine="0"/>
              <w:jc w:val="both"/>
              <w:rPr>
                <w:rFonts w:ascii="Arial" w:hAnsi="Arial" w:cs="Arial"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color w:val="FF0000"/>
                <w:lang w:val="it-CH"/>
              </w:rPr>
              <w:t>stupra una persona ai sensi dell’articolo 154 capoverso 2 o 3, le impone un atto di coazione sessuale ai sensi dell’articolo 153 capoverso 2 o 3 di gravità analoga, le fa compiere o subire un atto sessuale di gravità analoga, la costringe a prostituirsi o la sottopone a sterilizzazione forzata, oppure, dopo che questa è stata resa gravida contro la sua volontà, la tiene sequestrata nell’intento di modificare la composizione etnica di una popolazione;</w:t>
            </w:r>
          </w:p>
        </w:tc>
      </w:tr>
    </w:tbl>
    <w:p w14:paraId="6D2DD2FE" w14:textId="77777777" w:rsidR="00480D82" w:rsidRPr="00090F4B" w:rsidRDefault="00480D82">
      <w:pPr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br w:type="page"/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543"/>
        <w:gridCol w:w="5671"/>
      </w:tblGrid>
      <w:tr w:rsidR="00835201" w:rsidRPr="00090F4B" w14:paraId="6C7640BB" w14:textId="77777777" w:rsidTr="005854EB">
        <w:tc>
          <w:tcPr>
            <w:tcW w:w="3543" w:type="dxa"/>
          </w:tcPr>
          <w:p w14:paraId="0A995D18" w14:textId="3EF8E47F" w:rsidR="0069256E" w:rsidRPr="00090F4B" w:rsidRDefault="0069256E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lastRenderedPageBreak/>
              <w:t xml:space="preserve">Art. 112a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cpv.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 1 CPM</w:t>
            </w:r>
          </w:p>
          <w:p w14:paraId="065BFB99" w14:textId="7B457C3F" w:rsidR="00D64668" w:rsidRPr="00090F4B" w:rsidRDefault="00EE0BB9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A</w:t>
            </w:r>
            <w:r w:rsidR="00F85CEE" w:rsidRPr="00090F4B">
              <w:rPr>
                <w:rFonts w:ascii="Arial" w:hAnsi="Arial" w:cs="Arial"/>
                <w:lang w:val="it-CH"/>
              </w:rPr>
              <w:t>ltri crimini di guerra – Trattamento medico ingiustificato, lesione dell’autodeterminazione sessuale e della dignità umana</w:t>
            </w:r>
          </w:p>
        </w:tc>
        <w:tc>
          <w:tcPr>
            <w:tcW w:w="5671" w:type="dxa"/>
          </w:tcPr>
          <w:p w14:paraId="21488FB2" w14:textId="19A3ECCD" w:rsidR="00DF3C38" w:rsidRPr="00090F4B" w:rsidRDefault="00F85CEE" w:rsidP="00F34107">
            <w:pPr>
              <w:pStyle w:val="Listenabsatz"/>
              <w:numPr>
                <w:ilvl w:val="4"/>
                <w:numId w:val="16"/>
              </w:numPr>
              <w:tabs>
                <w:tab w:val="left" w:pos="284"/>
              </w:tabs>
              <w:spacing w:line="260" w:lineRule="atLeast"/>
              <w:ind w:left="0" w:firstLine="0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Chiunque, nel contesto di un conflitto armato:</w:t>
            </w:r>
          </w:p>
          <w:p w14:paraId="40C02F24" w14:textId="77777777" w:rsidR="00F85CEE" w:rsidRPr="00090F4B" w:rsidRDefault="00F85CEE" w:rsidP="00F34107">
            <w:pPr>
              <w:pStyle w:val="Listenabsatz"/>
              <w:tabs>
                <w:tab w:val="left" w:pos="284"/>
              </w:tabs>
              <w:spacing w:line="260" w:lineRule="atLeast"/>
              <w:ind w:left="0"/>
              <w:rPr>
                <w:rFonts w:ascii="Arial" w:hAnsi="Arial" w:cs="Arial"/>
                <w:lang w:val="it-CH"/>
              </w:rPr>
            </w:pPr>
          </w:p>
          <w:p w14:paraId="0CB125C2" w14:textId="27DD5A89" w:rsidR="00F85CEE" w:rsidRPr="00090F4B" w:rsidRDefault="00F85CEE" w:rsidP="00F34107">
            <w:pPr>
              <w:pStyle w:val="Listenabsatz"/>
              <w:numPr>
                <w:ilvl w:val="0"/>
                <w:numId w:val="29"/>
              </w:numPr>
              <w:tabs>
                <w:tab w:val="left" w:pos="284"/>
              </w:tabs>
              <w:spacing w:line="260" w:lineRule="atLeast"/>
              <w:ind w:left="0" w:firstLine="0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cagiona gravi danni al corpo oppure viola o mette gravemente in pericolo la salute fisica o psichica di una persona protetta dal diritto internazionale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umanitario</w:t>
            </w:r>
            <w:r w:rsidRPr="00090F4B">
              <w:rPr>
                <w:rFonts w:ascii="Arial" w:hAnsi="Arial" w:cs="Arial"/>
                <w:lang w:val="it-CH"/>
              </w:rPr>
              <w:t>, sottoponendola a un trattamento medico che il suo stato di salute non rende necessario e che non è conforme ai principi medici generalmente riconosciuti;</w:t>
            </w:r>
          </w:p>
          <w:p w14:paraId="71E7072B" w14:textId="77777777" w:rsidR="00F85CEE" w:rsidRPr="00090F4B" w:rsidRDefault="00F85CEE" w:rsidP="00F34107">
            <w:pPr>
              <w:pStyle w:val="Listenabsatz"/>
              <w:tabs>
                <w:tab w:val="left" w:pos="284"/>
              </w:tabs>
              <w:spacing w:line="260" w:lineRule="atLeast"/>
              <w:ind w:left="0"/>
              <w:rPr>
                <w:rFonts w:ascii="Arial" w:hAnsi="Arial" w:cs="Arial"/>
                <w:lang w:val="it-CH"/>
              </w:rPr>
            </w:pPr>
          </w:p>
          <w:p w14:paraId="62941DD3" w14:textId="233F8414" w:rsidR="00F85CEE" w:rsidRPr="00090F4B" w:rsidRDefault="00F85CEE" w:rsidP="00F34107">
            <w:pPr>
              <w:pStyle w:val="Listenabsatz"/>
              <w:numPr>
                <w:ilvl w:val="0"/>
                <w:numId w:val="29"/>
              </w:numPr>
              <w:tabs>
                <w:tab w:val="left" w:pos="284"/>
              </w:tabs>
              <w:spacing w:line="260" w:lineRule="atLeast"/>
              <w:ind w:left="0" w:firstLine="0"/>
              <w:rPr>
                <w:rFonts w:ascii="Arial" w:hAnsi="Arial" w:cs="Arial"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color w:val="FF0000"/>
                <w:lang w:val="it-CH"/>
              </w:rPr>
              <w:t>stupra una persona protetta dal diritto internazionale umanitario ai sensi dell’articolo 154 capoverso 2 o 3, le impone un atto di coazione sessuale ai sensi dell’articolo 153 capoverso 2 o 3 di gravità analoga, le fa compiere o subire un atto sessuale di gravità analoga, la costringe a prostituirsi o la sottopone a sterilizzazione forzata, oppure, dopo che questa è stata resa gravida contro la sua volontà, la tiene sequestrata nell’intento di modificare la composizione etnica di una popolazione;</w:t>
            </w:r>
          </w:p>
          <w:p w14:paraId="531707A0" w14:textId="77777777" w:rsidR="00F85CEE" w:rsidRPr="00090F4B" w:rsidRDefault="00F85CEE" w:rsidP="00F34107">
            <w:pPr>
              <w:pStyle w:val="Listenabsatz"/>
              <w:tabs>
                <w:tab w:val="left" w:pos="284"/>
              </w:tabs>
              <w:rPr>
                <w:rFonts w:ascii="Arial" w:hAnsi="Arial" w:cs="Arial"/>
                <w:color w:val="FF0000"/>
                <w:lang w:val="it-CH"/>
              </w:rPr>
            </w:pPr>
          </w:p>
          <w:p w14:paraId="12CD63D6" w14:textId="69135505" w:rsidR="00F85CEE" w:rsidRPr="00090F4B" w:rsidRDefault="00F85CEE" w:rsidP="00F34107">
            <w:pPr>
              <w:pStyle w:val="Listenabsatz"/>
              <w:numPr>
                <w:ilvl w:val="0"/>
                <w:numId w:val="29"/>
              </w:numPr>
              <w:tabs>
                <w:tab w:val="left" w:pos="284"/>
              </w:tabs>
              <w:spacing w:line="260" w:lineRule="atLeast"/>
              <w:ind w:left="0" w:firstLine="0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sottopone una persona protetta dal diritto internazionale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umanitario</w:t>
            </w:r>
            <w:r w:rsidRPr="00090F4B">
              <w:rPr>
                <w:rFonts w:ascii="Arial" w:hAnsi="Arial" w:cs="Arial"/>
                <w:lang w:val="it-CH"/>
              </w:rPr>
              <w:t xml:space="preserve"> a un trattamento gravemente umiliante o degradante,</w:t>
            </w:r>
          </w:p>
          <w:p w14:paraId="0F8B7779" w14:textId="77777777" w:rsidR="00D64668" w:rsidRPr="00090F4B" w:rsidRDefault="00D64668" w:rsidP="00F34107">
            <w:pPr>
              <w:pStyle w:val="Listenabsatz"/>
              <w:tabs>
                <w:tab w:val="left" w:pos="284"/>
              </w:tabs>
              <w:spacing w:after="120" w:line="260" w:lineRule="atLeast"/>
              <w:ind w:left="0"/>
              <w:jc w:val="both"/>
              <w:rPr>
                <w:rFonts w:ascii="Arial" w:hAnsi="Arial" w:cs="Arial"/>
                <w:lang w:val="it-CH"/>
              </w:rPr>
            </w:pPr>
          </w:p>
          <w:p w14:paraId="11CFD049" w14:textId="4853A3E1" w:rsidR="00F85CEE" w:rsidRPr="00090F4B" w:rsidRDefault="00F85CEE" w:rsidP="00F34107">
            <w:pPr>
              <w:tabs>
                <w:tab w:val="left" w:pos="284"/>
              </w:tabs>
              <w:spacing w:after="120"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è punito con una pena detentiva non inferiore a tre anni.</w:t>
            </w:r>
          </w:p>
        </w:tc>
      </w:tr>
      <w:tr w:rsidR="007028EB" w:rsidRPr="00090F4B" w14:paraId="24DFE902" w14:textId="77777777" w:rsidTr="005854EB">
        <w:tc>
          <w:tcPr>
            <w:tcW w:w="3543" w:type="dxa"/>
          </w:tcPr>
          <w:p w14:paraId="4409F480" w14:textId="120452FC" w:rsidR="00D64668" w:rsidRPr="00090F4B" w:rsidRDefault="00480D82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br w:type="page"/>
            </w:r>
            <w:r w:rsidR="001B5820" w:rsidRPr="00090F4B">
              <w:rPr>
                <w:rFonts w:ascii="Arial" w:hAnsi="Arial" w:cs="Arial"/>
                <w:b/>
                <w:bCs/>
                <w:lang w:val="it-CH"/>
              </w:rPr>
              <w:t xml:space="preserve">Art. </w:t>
            </w:r>
            <w:r w:rsidR="00DF3C38" w:rsidRPr="00090F4B">
              <w:rPr>
                <w:rFonts w:ascii="Arial" w:hAnsi="Arial" w:cs="Arial"/>
                <w:b/>
                <w:bCs/>
                <w:lang w:val="it-CH"/>
              </w:rPr>
              <w:t>153</w:t>
            </w:r>
            <w:r w:rsidR="001B5820" w:rsidRPr="00090F4B">
              <w:rPr>
                <w:rFonts w:ascii="Arial" w:hAnsi="Arial" w:cs="Arial"/>
                <w:b/>
                <w:bCs/>
                <w:lang w:val="it-CH"/>
              </w:rPr>
              <w:t xml:space="preserve"> CPM</w:t>
            </w:r>
          </w:p>
          <w:p w14:paraId="4CF5BA0D" w14:textId="6D15B8EB" w:rsidR="00D64668" w:rsidRPr="00090F4B" w:rsidRDefault="00BE6E00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color w:val="FF0000"/>
                <w:lang w:val="it-CH"/>
              </w:rPr>
              <w:t xml:space="preserve">Aggressione e </w:t>
            </w:r>
            <w:r w:rsidRPr="00090F4B">
              <w:rPr>
                <w:rFonts w:ascii="Arial" w:hAnsi="Arial" w:cs="Arial"/>
                <w:lang w:val="it-CH"/>
              </w:rPr>
              <w:t>coazione sessuale</w:t>
            </w:r>
          </w:p>
        </w:tc>
        <w:tc>
          <w:tcPr>
            <w:tcW w:w="5671" w:type="dxa"/>
          </w:tcPr>
          <w:p w14:paraId="260605AB" w14:textId="77777777" w:rsidR="00BE6E00" w:rsidRPr="00090F4B" w:rsidRDefault="00BE6E00" w:rsidP="00F34107">
            <w:pPr>
              <w:pStyle w:val="Listenabsatz"/>
              <w:numPr>
                <w:ilvl w:val="0"/>
                <w:numId w:val="17"/>
              </w:numPr>
              <w:tabs>
                <w:tab w:val="left" w:pos="284"/>
              </w:tabs>
              <w:spacing w:line="260" w:lineRule="atLeast"/>
              <w:ind w:left="0" w:firstLine="0"/>
              <w:rPr>
                <w:rFonts w:ascii="Arial" w:hAnsi="Arial" w:cs="Arial"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color w:val="FF0000"/>
                <w:lang w:val="it-CH"/>
              </w:rPr>
              <w:t>Chiunque, contro la volontà di una persona, le fa subire o compiere un atto sessuale, o a tale scopo sfrutta lo stato di choc di una persona, è punito con una pena detentiva sino a tre anni o con una pena pecuniaria.</w:t>
            </w:r>
          </w:p>
          <w:p w14:paraId="18716049" w14:textId="77777777" w:rsidR="00480D82" w:rsidRPr="00090F4B" w:rsidRDefault="00480D82" w:rsidP="00F34107">
            <w:pPr>
              <w:pStyle w:val="Listenabsatz"/>
              <w:tabs>
                <w:tab w:val="left" w:pos="284"/>
              </w:tabs>
              <w:spacing w:after="0" w:line="260" w:lineRule="atLeast"/>
              <w:ind w:left="0"/>
              <w:jc w:val="both"/>
              <w:rPr>
                <w:rFonts w:ascii="Arial" w:hAnsi="Arial" w:cs="Arial"/>
                <w:color w:val="FF0000"/>
                <w:lang w:val="it-CH"/>
              </w:rPr>
            </w:pPr>
          </w:p>
          <w:p w14:paraId="66E2BF1C" w14:textId="32A83525" w:rsidR="00DF3C38" w:rsidRPr="00090F4B" w:rsidRDefault="00BE6E00" w:rsidP="00F34107">
            <w:pPr>
              <w:pStyle w:val="Listenabsatz"/>
              <w:numPr>
                <w:ilvl w:val="0"/>
                <w:numId w:val="17"/>
              </w:numPr>
              <w:tabs>
                <w:tab w:val="left" w:pos="284"/>
              </w:tabs>
              <w:spacing w:after="0" w:line="260" w:lineRule="atLeast"/>
              <w:ind w:left="0" w:firstLine="0"/>
              <w:jc w:val="both"/>
              <w:rPr>
                <w:rFonts w:ascii="Arial" w:hAnsi="Arial" w:cs="Arial"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Chiunque costringe una persona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a compiere</w:t>
            </w:r>
            <w:r w:rsidRPr="00090F4B">
              <w:rPr>
                <w:rFonts w:ascii="Arial" w:hAnsi="Arial" w:cs="Arial"/>
                <w:lang w:val="it-CH"/>
              </w:rPr>
              <w:t xml:space="preserve"> o subire </w:t>
            </w:r>
            <w:r w:rsidRPr="00090F4B">
              <w:rPr>
                <w:rFonts w:ascii="Arial" w:hAnsi="Arial" w:cs="Arial"/>
                <w:strike/>
                <w:color w:val="FF0000"/>
                <w:lang w:val="it-CH"/>
              </w:rPr>
              <w:t>un atto analogo alla congiunzione carnale o</w:t>
            </w:r>
            <w:r w:rsidRPr="00090F4B">
              <w:rPr>
                <w:rFonts w:ascii="Arial" w:hAnsi="Arial" w:cs="Arial"/>
                <w:lang w:val="it-CH"/>
              </w:rPr>
              <w:t xml:space="preserve"> un </w:t>
            </w:r>
            <w:r w:rsidRPr="00090F4B">
              <w:rPr>
                <w:rFonts w:ascii="Arial" w:hAnsi="Arial" w:cs="Arial"/>
                <w:strike/>
                <w:color w:val="FF0000"/>
                <w:lang w:val="it-CH"/>
              </w:rPr>
              <w:t>altro</w:t>
            </w:r>
            <w:r w:rsidRPr="00090F4B">
              <w:rPr>
                <w:rFonts w:ascii="Arial" w:hAnsi="Arial" w:cs="Arial"/>
                <w:lang w:val="it-CH"/>
              </w:rPr>
              <w:t xml:space="preserve"> atto sessuale, segnatamente usando minaccia o violenza, esercitando pressioni psicologiche su di lei o rendendola inetta a resistere, è punito con una pena detentiva sino a dieci anni o con una pena pecuniaria</w:t>
            </w:r>
            <w:r w:rsidR="00DF3C38" w:rsidRPr="00090F4B">
              <w:rPr>
                <w:rFonts w:ascii="Arial" w:hAnsi="Arial" w:cs="Arial"/>
                <w:lang w:val="it-CH"/>
              </w:rPr>
              <w:t>.</w:t>
            </w:r>
          </w:p>
          <w:p w14:paraId="1A4D9F39" w14:textId="77777777" w:rsidR="00DF3C38" w:rsidRPr="00090F4B" w:rsidRDefault="00DF3C38" w:rsidP="00F34107">
            <w:pPr>
              <w:pStyle w:val="Listenabsatz"/>
              <w:tabs>
                <w:tab w:val="left" w:pos="284"/>
              </w:tabs>
              <w:spacing w:after="0" w:line="260" w:lineRule="atLeast"/>
              <w:ind w:left="0"/>
              <w:jc w:val="both"/>
              <w:rPr>
                <w:rFonts w:ascii="Arial" w:hAnsi="Arial" w:cs="Arial"/>
                <w:lang w:val="it-CH"/>
              </w:rPr>
            </w:pPr>
          </w:p>
          <w:p w14:paraId="0298396E" w14:textId="53E0C901" w:rsidR="00017F79" w:rsidRPr="00090F4B" w:rsidRDefault="00BE6E00" w:rsidP="00F34107">
            <w:pPr>
              <w:pStyle w:val="Listenabsatz"/>
              <w:numPr>
                <w:ilvl w:val="0"/>
                <w:numId w:val="17"/>
              </w:numPr>
              <w:tabs>
                <w:tab w:val="left" w:pos="284"/>
              </w:tabs>
              <w:spacing w:after="120" w:line="260" w:lineRule="atLeast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Se il colpevole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 xml:space="preserve">secondo il capoverso </w:t>
            </w:r>
            <w:proofErr w:type="gramStart"/>
            <w:r w:rsidRPr="00090F4B">
              <w:rPr>
                <w:rFonts w:ascii="Arial" w:hAnsi="Arial" w:cs="Arial"/>
                <w:color w:val="FF0000"/>
                <w:lang w:val="it-CH"/>
              </w:rPr>
              <w:t>2</w:t>
            </w:r>
            <w:proofErr w:type="gramEnd"/>
            <w:r w:rsidRPr="00090F4B">
              <w:rPr>
                <w:rFonts w:ascii="Arial" w:hAnsi="Arial" w:cs="Arial"/>
                <w:lang w:val="it-CH"/>
              </w:rPr>
              <w:t xml:space="preserve"> ha agito con crudeltà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oppure</w:t>
            </w:r>
            <w:r w:rsidRPr="00090F4B">
              <w:rPr>
                <w:rFonts w:ascii="Arial" w:hAnsi="Arial" w:cs="Arial"/>
                <w:lang w:val="it-CH"/>
              </w:rPr>
              <w:t xml:space="preserve"> se ha fatto uso di un’arma pericolosa o di un altro oggetto pericoloso, la pena è una pena detentiva non inferiore a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un anno</w:t>
            </w:r>
            <w:r w:rsidR="00DF3C38" w:rsidRPr="00090F4B">
              <w:rPr>
                <w:rFonts w:ascii="Arial" w:hAnsi="Arial" w:cs="Arial"/>
                <w:lang w:val="it-CH"/>
              </w:rPr>
              <w:t>.</w:t>
            </w:r>
          </w:p>
        </w:tc>
      </w:tr>
    </w:tbl>
    <w:p w14:paraId="5CBD56A7" w14:textId="77777777" w:rsidR="00BE6E00" w:rsidRPr="00090F4B" w:rsidRDefault="00BE6E00">
      <w:pPr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br w:type="page"/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543"/>
        <w:gridCol w:w="5671"/>
      </w:tblGrid>
      <w:tr w:rsidR="003857B0" w:rsidRPr="00090F4B" w14:paraId="6A8D1FF2" w14:textId="77777777" w:rsidTr="005854EB">
        <w:tc>
          <w:tcPr>
            <w:tcW w:w="3543" w:type="dxa"/>
          </w:tcPr>
          <w:p w14:paraId="3CFAC679" w14:textId="1FB77983" w:rsidR="00D64668" w:rsidRPr="00090F4B" w:rsidRDefault="001B5820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lastRenderedPageBreak/>
              <w:t xml:space="preserve">Art. </w:t>
            </w:r>
            <w:r w:rsidR="00DF3C38" w:rsidRPr="00090F4B">
              <w:rPr>
                <w:rFonts w:ascii="Arial" w:hAnsi="Arial" w:cs="Arial"/>
                <w:b/>
                <w:bCs/>
                <w:lang w:val="it-CH"/>
              </w:rPr>
              <w:t>154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 CPM</w:t>
            </w:r>
          </w:p>
          <w:p w14:paraId="7B9CEB24" w14:textId="27741524" w:rsidR="00D64668" w:rsidRPr="00090F4B" w:rsidRDefault="00BE6E00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Violenza carnale</w:t>
            </w:r>
          </w:p>
        </w:tc>
        <w:tc>
          <w:tcPr>
            <w:tcW w:w="5671" w:type="dxa"/>
          </w:tcPr>
          <w:p w14:paraId="7D236F88" w14:textId="088C2EF5" w:rsidR="00DF3C38" w:rsidRPr="00090F4B" w:rsidRDefault="00BE6E00" w:rsidP="00F34107">
            <w:pPr>
              <w:pStyle w:val="Listenabsatz"/>
              <w:numPr>
                <w:ilvl w:val="0"/>
                <w:numId w:val="18"/>
              </w:numPr>
              <w:tabs>
                <w:tab w:val="left" w:pos="284"/>
              </w:tabs>
              <w:spacing w:after="0" w:line="260" w:lineRule="atLeast"/>
              <w:ind w:left="0" w:firstLine="0"/>
              <w:jc w:val="both"/>
              <w:rPr>
                <w:rFonts w:ascii="Arial" w:hAnsi="Arial" w:cs="Arial"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color w:val="FF0000"/>
                <w:lang w:val="it-CH"/>
              </w:rPr>
              <w:t>Chiunque, contro la volontà di una persona, le fa compiere o subire la congiunzione carnale o un atto analogo che implica una penetrazione corporale, o a tale scopo sfrutta lo stato di choc di una persona, è punito con una pena detentiva sino a cinque anni</w:t>
            </w:r>
            <w:r w:rsidR="00DF3C38" w:rsidRPr="00090F4B">
              <w:rPr>
                <w:rFonts w:ascii="Arial" w:hAnsi="Arial" w:cs="Arial"/>
                <w:color w:val="FF0000"/>
                <w:lang w:val="it-CH"/>
              </w:rPr>
              <w:t>.</w:t>
            </w:r>
          </w:p>
          <w:p w14:paraId="604E31DA" w14:textId="77777777" w:rsidR="00DF3C38" w:rsidRPr="00090F4B" w:rsidRDefault="00DF3C38" w:rsidP="00F34107">
            <w:pPr>
              <w:pStyle w:val="Listenabsatz"/>
              <w:tabs>
                <w:tab w:val="left" w:pos="284"/>
              </w:tabs>
              <w:spacing w:after="0" w:line="260" w:lineRule="atLeast"/>
              <w:ind w:left="0"/>
              <w:jc w:val="both"/>
              <w:rPr>
                <w:rFonts w:ascii="Arial" w:hAnsi="Arial" w:cs="Arial"/>
                <w:lang w:val="it-CH"/>
              </w:rPr>
            </w:pPr>
          </w:p>
          <w:p w14:paraId="537ABECC" w14:textId="72A42F4C" w:rsidR="00DF3C38" w:rsidRPr="00090F4B" w:rsidRDefault="00BE6E00" w:rsidP="00F34107">
            <w:pPr>
              <w:pStyle w:val="Listenabsatz"/>
              <w:numPr>
                <w:ilvl w:val="0"/>
                <w:numId w:val="18"/>
              </w:numPr>
              <w:tabs>
                <w:tab w:val="left" w:pos="284"/>
              </w:tabs>
              <w:spacing w:after="0" w:line="260" w:lineRule="atLeast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Chiunque costringe una persona </w:t>
            </w:r>
            <w:r w:rsidRPr="00090F4B">
              <w:rPr>
                <w:rFonts w:ascii="Arial" w:hAnsi="Arial" w:cs="Arial"/>
                <w:strike/>
                <w:color w:val="FF0000"/>
                <w:lang w:val="it-CH"/>
              </w:rPr>
              <w:t>di sesso femminile</w:t>
            </w:r>
            <w:r w:rsidRPr="00090F4B">
              <w:rPr>
                <w:rFonts w:ascii="Arial" w:hAnsi="Arial" w:cs="Arial"/>
                <w:lang w:val="it-CH"/>
              </w:rPr>
              <w:t xml:space="preserve"> a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compiere o</w:t>
            </w:r>
            <w:r w:rsidRPr="00090F4B">
              <w:rPr>
                <w:rFonts w:ascii="Arial" w:hAnsi="Arial" w:cs="Arial"/>
                <w:lang w:val="it-CH"/>
              </w:rPr>
              <w:t xml:space="preserve"> subire la congiunzione carnale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o un atto</w:t>
            </w:r>
            <w:r w:rsidRPr="00090F4B">
              <w:rPr>
                <w:rFonts w:ascii="Arial" w:hAnsi="Arial" w:cs="Arial"/>
                <w:lang w:val="it-CH"/>
              </w:rPr>
              <w:t xml:space="preserve">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analogo che implica una penetrazione corporale</w:t>
            </w:r>
            <w:r w:rsidRPr="00090F4B">
              <w:rPr>
                <w:rFonts w:ascii="Arial" w:hAnsi="Arial" w:cs="Arial"/>
                <w:lang w:val="it-CH"/>
              </w:rPr>
              <w:t>, segnatamente usando minaccia o violenza, esercitando pressioni psicologiche su di lei o rendendola inetta a resistere, è punito con una pena detentiva da uno a dieci anni.</w:t>
            </w:r>
          </w:p>
          <w:p w14:paraId="0DCD814E" w14:textId="77777777" w:rsidR="00DF3C38" w:rsidRPr="00090F4B" w:rsidRDefault="00DF3C38" w:rsidP="00F34107">
            <w:pPr>
              <w:pStyle w:val="Listenabsatz"/>
              <w:tabs>
                <w:tab w:val="left" w:pos="284"/>
              </w:tabs>
              <w:spacing w:after="0" w:line="260" w:lineRule="atLeast"/>
              <w:ind w:left="0"/>
              <w:jc w:val="both"/>
              <w:rPr>
                <w:rFonts w:ascii="Arial" w:hAnsi="Arial" w:cs="Arial"/>
                <w:lang w:val="it-CH"/>
              </w:rPr>
            </w:pPr>
          </w:p>
          <w:p w14:paraId="552AEB2E" w14:textId="43747F27" w:rsidR="00D64668" w:rsidRPr="00090F4B" w:rsidRDefault="00BE6E00" w:rsidP="00F34107">
            <w:pPr>
              <w:pStyle w:val="Listenabsatz"/>
              <w:numPr>
                <w:ilvl w:val="0"/>
                <w:numId w:val="18"/>
              </w:numPr>
              <w:tabs>
                <w:tab w:val="left" w:pos="284"/>
              </w:tabs>
              <w:spacing w:after="120" w:line="260" w:lineRule="atLeast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Se il colpevole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 xml:space="preserve">secondo il capoverso </w:t>
            </w:r>
            <w:proofErr w:type="gramStart"/>
            <w:r w:rsidRPr="00090F4B">
              <w:rPr>
                <w:rFonts w:ascii="Arial" w:hAnsi="Arial" w:cs="Arial"/>
                <w:color w:val="FF0000"/>
                <w:lang w:val="it-CH"/>
              </w:rPr>
              <w:t>2</w:t>
            </w:r>
            <w:proofErr w:type="gramEnd"/>
            <w:r w:rsidRPr="00090F4B">
              <w:rPr>
                <w:rFonts w:ascii="Arial" w:hAnsi="Arial" w:cs="Arial"/>
                <w:lang w:val="it-CH"/>
              </w:rPr>
              <w:t xml:space="preserve"> ha agito con crudeltà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oppure</w:t>
            </w:r>
            <w:r w:rsidRPr="00090F4B">
              <w:rPr>
                <w:rFonts w:ascii="Arial" w:hAnsi="Arial" w:cs="Arial"/>
                <w:lang w:val="it-CH"/>
              </w:rPr>
              <w:t xml:space="preserve"> se ha fatto uso di un’arma pericolosa o di un altro oggetto pericoloso, la pena è una pena detentiva non inferiore a tre anni</w:t>
            </w:r>
            <w:r w:rsidR="00DF3C38" w:rsidRPr="00090F4B">
              <w:rPr>
                <w:rFonts w:ascii="Arial" w:hAnsi="Arial" w:cs="Arial"/>
                <w:lang w:val="it-CH"/>
              </w:rPr>
              <w:t>.</w:t>
            </w:r>
          </w:p>
        </w:tc>
      </w:tr>
    </w:tbl>
    <w:p w14:paraId="12C00178" w14:textId="77777777" w:rsidR="005854EB" w:rsidRPr="00090F4B" w:rsidRDefault="005854EB">
      <w:pPr>
        <w:spacing w:after="160" w:line="259" w:lineRule="auto"/>
        <w:jc w:val="left"/>
        <w:rPr>
          <w:rFonts w:ascii="Arial" w:hAnsi="Arial" w:cs="Arial"/>
          <w:lang w:val="it-CH"/>
        </w:rPr>
      </w:pPr>
    </w:p>
    <w:p w14:paraId="5615F3D6" w14:textId="77777777" w:rsidR="00BE6E00" w:rsidRPr="00090F4B" w:rsidRDefault="005854EB">
      <w:pPr>
        <w:spacing w:after="160" w:line="259" w:lineRule="auto"/>
        <w:jc w:val="left"/>
        <w:rPr>
          <w:rFonts w:ascii="Arial" w:hAnsi="Arial" w:cs="Arial"/>
          <w:noProof/>
          <w:lang w:val="it-CH"/>
        </w:rPr>
      </w:pPr>
      <w:r w:rsidRPr="00090F4B">
        <w:rPr>
          <w:rFonts w:ascii="Arial" w:hAnsi="Arial" w:cs="Arial"/>
          <w:b/>
          <w:bCs/>
          <w:sz w:val="24"/>
          <w:szCs w:val="24"/>
          <w:lang w:val="it-CH"/>
        </w:rPr>
        <w:t xml:space="preserve">Art. 154 CPM </w:t>
      </w:r>
      <w:r w:rsidR="00BE6E00" w:rsidRPr="00090F4B">
        <w:rPr>
          <w:rFonts w:ascii="Arial" w:hAnsi="Arial" w:cs="Arial"/>
          <w:b/>
          <w:bCs/>
          <w:sz w:val="24"/>
          <w:szCs w:val="24"/>
          <w:lang w:val="it-CH"/>
        </w:rPr>
        <w:t>–</w:t>
      </w:r>
      <w:r w:rsidRPr="00090F4B">
        <w:rPr>
          <w:rFonts w:ascii="Arial" w:hAnsi="Arial" w:cs="Arial"/>
          <w:b/>
          <w:bCs/>
          <w:sz w:val="24"/>
          <w:szCs w:val="24"/>
          <w:lang w:val="it-CH"/>
        </w:rPr>
        <w:t xml:space="preserve"> </w:t>
      </w:r>
      <w:r w:rsidR="00BE6E00" w:rsidRPr="00090F4B">
        <w:rPr>
          <w:rFonts w:ascii="Arial" w:hAnsi="Arial" w:cs="Arial"/>
          <w:b/>
          <w:bCs/>
          <w:sz w:val="24"/>
          <w:szCs w:val="24"/>
          <w:lang w:val="it-CH"/>
        </w:rPr>
        <w:t>Violenza carnale</w:t>
      </w:r>
    </w:p>
    <w:p w14:paraId="7B65AA35" w14:textId="28C63770" w:rsidR="005854EB" w:rsidRPr="00090F4B" w:rsidRDefault="00BE6E00">
      <w:pPr>
        <w:spacing w:after="160" w:line="259" w:lineRule="auto"/>
        <w:jc w:val="left"/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noProof/>
          <w:lang w:val="it-CH"/>
        </w:rPr>
        <w:drawing>
          <wp:inline distT="0" distB="0" distL="0" distR="0" wp14:anchorId="2F29A9B1" wp14:editId="13E3B412">
            <wp:extent cx="5850890" cy="3180080"/>
            <wp:effectExtent l="0" t="0" r="0" b="1270"/>
            <wp:docPr id="5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EE458E6D-476E-23B4-3D1A-D814D16B7A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EE458E6D-476E-23B4-3D1A-D814D16B7A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F4B">
        <w:rPr>
          <w:rFonts w:ascii="Arial" w:hAnsi="Arial" w:cs="Arial"/>
          <w:noProof/>
          <w:lang w:val="it-CH"/>
        </w:rPr>
        <w:t xml:space="preserve"> </w:t>
      </w:r>
      <w:r w:rsidRPr="00090F4B">
        <w:rPr>
          <w:rFonts w:ascii="Arial" w:hAnsi="Arial" w:cs="Arial"/>
          <w:noProof/>
          <w:lang w:val="it-CH"/>
        </w:rPr>
        <w:drawing>
          <wp:inline distT="0" distB="0" distL="0" distR="0" wp14:anchorId="1FCFEE39" wp14:editId="3A2DDBF5">
            <wp:extent cx="5850890" cy="2025650"/>
            <wp:effectExtent l="0" t="0" r="0" b="0"/>
            <wp:docPr id="6" name="Grafik 5">
              <a:extLst xmlns:a="http://schemas.openxmlformats.org/drawingml/2006/main">
                <a:ext uri="{FF2B5EF4-FFF2-40B4-BE49-F238E27FC236}">
                  <a16:creationId xmlns:a16="http://schemas.microsoft.com/office/drawing/2014/main" id="{82D2DBFA-03DD-A6D9-AF3D-94BF70D615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>
                      <a:extLst>
                        <a:ext uri="{FF2B5EF4-FFF2-40B4-BE49-F238E27FC236}">
                          <a16:creationId xmlns:a16="http://schemas.microsoft.com/office/drawing/2014/main" id="{82D2DBFA-03DD-A6D9-AF3D-94BF70D615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54EB" w:rsidRPr="00090F4B">
        <w:rPr>
          <w:rFonts w:ascii="Arial" w:hAnsi="Arial" w:cs="Arial"/>
          <w:lang w:val="it-CH"/>
        </w:rPr>
        <w:br w:type="page"/>
      </w:r>
    </w:p>
    <w:p w14:paraId="5319B52B" w14:textId="77777777" w:rsidR="005854EB" w:rsidRPr="00090F4B" w:rsidRDefault="005854EB">
      <w:pPr>
        <w:rPr>
          <w:rFonts w:ascii="Arial" w:hAnsi="Arial" w:cs="Arial"/>
          <w:lang w:val="it-CH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543"/>
        <w:gridCol w:w="5671"/>
      </w:tblGrid>
      <w:tr w:rsidR="00DD129C" w:rsidRPr="00090F4B" w14:paraId="002C07FB" w14:textId="77777777" w:rsidTr="005854EB">
        <w:tc>
          <w:tcPr>
            <w:tcW w:w="3543" w:type="dxa"/>
          </w:tcPr>
          <w:p w14:paraId="665B0BA1" w14:textId="7FD722F9" w:rsidR="00D64668" w:rsidRPr="00090F4B" w:rsidRDefault="001B5820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Art. </w:t>
            </w:r>
            <w:r w:rsidR="008B72D6" w:rsidRPr="00090F4B">
              <w:rPr>
                <w:rFonts w:ascii="Arial" w:hAnsi="Arial" w:cs="Arial"/>
                <w:b/>
                <w:bCs/>
                <w:lang w:val="it-CH"/>
              </w:rPr>
              <w:t>155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 CPM</w:t>
            </w:r>
          </w:p>
          <w:p w14:paraId="4DDA09BC" w14:textId="020B46BE" w:rsidR="00D64668" w:rsidRPr="00090F4B" w:rsidRDefault="00BE6E00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Atti sessuali con persone incapaci di discernimento o inette a resistere</w:t>
            </w:r>
          </w:p>
        </w:tc>
        <w:tc>
          <w:tcPr>
            <w:tcW w:w="5671" w:type="dxa"/>
          </w:tcPr>
          <w:p w14:paraId="552B7B75" w14:textId="33376938" w:rsidR="00D64668" w:rsidRPr="00090F4B" w:rsidRDefault="00BE6E00" w:rsidP="00F34107">
            <w:pPr>
              <w:tabs>
                <w:tab w:val="left" w:pos="284"/>
                <w:tab w:val="left" w:pos="454"/>
              </w:tabs>
              <w:spacing w:after="120" w:line="260" w:lineRule="atLeast"/>
              <w:rPr>
                <w:rFonts w:ascii="Arial" w:hAnsi="Arial" w:cs="Arial"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Chiunque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profitta del fatto che una persona è incapace di discernimento o inetta a resistere per farle compiere o subire la</w:t>
            </w:r>
            <w:r w:rsidRPr="00090F4B">
              <w:rPr>
                <w:rFonts w:ascii="Arial" w:hAnsi="Arial" w:cs="Arial"/>
                <w:lang w:val="it-CH"/>
              </w:rPr>
              <w:t xml:space="preserve"> congiunzione carnale, un atto analogo o un altro atto sessuale, è punito con una pena detentiva sino a dieci anni o con una pena pecuniaria.</w:t>
            </w:r>
          </w:p>
        </w:tc>
      </w:tr>
      <w:tr w:rsidR="00E36321" w:rsidRPr="00090F4B" w14:paraId="5BE79D96" w14:textId="77777777" w:rsidTr="005854EB">
        <w:tc>
          <w:tcPr>
            <w:tcW w:w="3543" w:type="dxa"/>
          </w:tcPr>
          <w:p w14:paraId="343ADECF" w14:textId="35AFB50A" w:rsidR="00D64668" w:rsidRPr="00090F4B" w:rsidRDefault="001B5820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Art. </w:t>
            </w:r>
            <w:r w:rsidR="008B72D6" w:rsidRPr="00090F4B">
              <w:rPr>
                <w:rFonts w:ascii="Arial" w:hAnsi="Arial" w:cs="Arial"/>
                <w:b/>
                <w:bCs/>
                <w:lang w:val="it-CH"/>
              </w:rPr>
              <w:t xml:space="preserve">156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cpv.</w:t>
            </w:r>
            <w:r w:rsidR="00480D82" w:rsidRPr="00090F4B">
              <w:rPr>
                <w:rFonts w:ascii="Arial" w:hAnsi="Arial" w:cs="Arial"/>
                <w:b/>
                <w:bCs/>
                <w:lang w:val="it-CH"/>
              </w:rPr>
              <w:t xml:space="preserve"> </w:t>
            </w:r>
            <w:r w:rsidR="008B72D6" w:rsidRPr="00090F4B">
              <w:rPr>
                <w:rFonts w:ascii="Arial" w:hAnsi="Arial" w:cs="Arial"/>
                <w:b/>
                <w:bCs/>
                <w:color w:val="FF0000"/>
                <w:lang w:val="it-CH"/>
              </w:rPr>
              <w:t>1</w:t>
            </w:r>
            <w:r w:rsidR="008B72D6" w:rsidRPr="00090F4B">
              <w:rPr>
                <w:rFonts w:ascii="Arial" w:hAnsi="Arial" w:cs="Arial"/>
                <w:b/>
                <w:bCs/>
                <w:color w:val="FF0000"/>
                <w:vertAlign w:val="superscript"/>
                <w:lang w:val="it-CH"/>
              </w:rPr>
              <w:t>bis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 </w:t>
            </w:r>
            <w:r w:rsidR="003D527E" w:rsidRPr="00090F4B">
              <w:rPr>
                <w:rFonts w:ascii="Arial" w:hAnsi="Arial" w:cs="Arial"/>
                <w:b/>
                <w:bCs/>
                <w:lang w:val="it-CH"/>
              </w:rPr>
              <w:t xml:space="preserve">e 3 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>CPM</w:t>
            </w:r>
          </w:p>
          <w:p w14:paraId="51826EA3" w14:textId="3BEE3C2F" w:rsidR="00D64668" w:rsidRPr="00090F4B" w:rsidRDefault="003D527E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A</w:t>
            </w:r>
            <w:r w:rsidR="00BE6E00" w:rsidRPr="00090F4B">
              <w:rPr>
                <w:rFonts w:ascii="Arial" w:hAnsi="Arial" w:cs="Arial"/>
                <w:lang w:val="it-CH"/>
              </w:rPr>
              <w:t>tti sessuali con fanciulli</w:t>
            </w:r>
          </w:p>
        </w:tc>
        <w:tc>
          <w:tcPr>
            <w:tcW w:w="5671" w:type="dxa"/>
          </w:tcPr>
          <w:p w14:paraId="60F44F59" w14:textId="4CB73C2C" w:rsidR="00480D82" w:rsidRPr="00090F4B" w:rsidRDefault="003D527E" w:rsidP="00F34107">
            <w:pPr>
              <w:pStyle w:val="Listenabsatz"/>
              <w:numPr>
                <w:ilvl w:val="0"/>
                <w:numId w:val="34"/>
              </w:numPr>
              <w:tabs>
                <w:tab w:val="left" w:pos="284"/>
                <w:tab w:val="left" w:pos="454"/>
              </w:tabs>
              <w:spacing w:after="120" w:line="260" w:lineRule="atLeast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…</w:t>
            </w:r>
          </w:p>
          <w:p w14:paraId="2C8C549A" w14:textId="77777777" w:rsidR="003D527E" w:rsidRPr="00090F4B" w:rsidRDefault="003D527E" w:rsidP="00F34107">
            <w:pPr>
              <w:pStyle w:val="Listenabsatz"/>
              <w:tabs>
                <w:tab w:val="left" w:pos="284"/>
                <w:tab w:val="left" w:pos="454"/>
              </w:tabs>
              <w:spacing w:after="120" w:line="260" w:lineRule="atLeast"/>
              <w:ind w:left="0"/>
              <w:jc w:val="both"/>
              <w:rPr>
                <w:rFonts w:ascii="Arial" w:hAnsi="Arial" w:cs="Arial"/>
                <w:lang w:val="it-CH"/>
              </w:rPr>
            </w:pPr>
          </w:p>
          <w:p w14:paraId="2A55EB3F" w14:textId="6672B25B" w:rsidR="00D64668" w:rsidRPr="00090F4B" w:rsidRDefault="008B72D6" w:rsidP="00F34107">
            <w:pPr>
              <w:pStyle w:val="Listenabsatz"/>
              <w:tabs>
                <w:tab w:val="left" w:pos="284"/>
                <w:tab w:val="left" w:pos="454"/>
              </w:tabs>
              <w:spacing w:after="120" w:line="260" w:lineRule="atLeast"/>
              <w:ind w:left="0"/>
              <w:jc w:val="both"/>
              <w:rPr>
                <w:rFonts w:ascii="Arial" w:hAnsi="Arial" w:cs="Arial"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1</w:t>
            </w:r>
            <w:r w:rsidRPr="00090F4B">
              <w:rPr>
                <w:rFonts w:ascii="Arial" w:hAnsi="Arial" w:cs="Arial"/>
                <w:vertAlign w:val="superscript"/>
                <w:lang w:val="it-CH"/>
              </w:rPr>
              <w:t>bis</w:t>
            </w:r>
            <w:r w:rsidR="00480D82" w:rsidRPr="00090F4B">
              <w:rPr>
                <w:rFonts w:ascii="Arial" w:hAnsi="Arial" w:cs="Arial"/>
                <w:lang w:val="it-CH"/>
              </w:rPr>
              <w:t xml:space="preserve"> </w:t>
            </w:r>
            <w:r w:rsidR="00F34107" w:rsidRPr="00090F4B">
              <w:rPr>
                <w:rFonts w:ascii="Arial" w:hAnsi="Arial" w:cs="Arial"/>
                <w:lang w:val="it-CH"/>
              </w:rPr>
              <w:tab/>
            </w:r>
            <w:r w:rsidR="003D527E" w:rsidRPr="00090F4B">
              <w:rPr>
                <w:rFonts w:ascii="Arial" w:hAnsi="Arial" w:cs="Arial"/>
                <w:color w:val="FF0000"/>
                <w:lang w:val="it-CH"/>
              </w:rPr>
              <w:t>Chiunque compie un atto sessuale con una persona minore di dodici anni o la induce a compiere un simile atto con un terzo o con un animale, è punito con una pena detentiva da uno a cinque anni.</w:t>
            </w:r>
          </w:p>
          <w:p w14:paraId="3E2744CD" w14:textId="77777777" w:rsidR="003D527E" w:rsidRPr="00090F4B" w:rsidRDefault="003D527E" w:rsidP="00F34107">
            <w:pPr>
              <w:pStyle w:val="Listenabsatz"/>
              <w:tabs>
                <w:tab w:val="left" w:pos="284"/>
                <w:tab w:val="left" w:pos="454"/>
              </w:tabs>
              <w:spacing w:after="120" w:line="260" w:lineRule="atLeast"/>
              <w:ind w:left="0"/>
              <w:jc w:val="both"/>
              <w:rPr>
                <w:rFonts w:ascii="Arial" w:hAnsi="Arial" w:cs="Arial"/>
                <w:color w:val="FF0000"/>
                <w:lang w:val="it-CH"/>
              </w:rPr>
            </w:pPr>
          </w:p>
          <w:p w14:paraId="18306546" w14:textId="13A9F4CA" w:rsidR="003D527E" w:rsidRPr="00090F4B" w:rsidRDefault="003D527E" w:rsidP="00F34107">
            <w:pPr>
              <w:pStyle w:val="Listenabsatz"/>
              <w:numPr>
                <w:ilvl w:val="0"/>
                <w:numId w:val="34"/>
              </w:numPr>
              <w:tabs>
                <w:tab w:val="left" w:pos="284"/>
                <w:tab w:val="left" w:pos="454"/>
              </w:tabs>
              <w:spacing w:after="120" w:line="260" w:lineRule="atLeast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…</w:t>
            </w:r>
          </w:p>
          <w:p w14:paraId="7A20B25C" w14:textId="77777777" w:rsidR="003D527E" w:rsidRPr="00090F4B" w:rsidRDefault="003D527E" w:rsidP="00F34107">
            <w:pPr>
              <w:pStyle w:val="Listenabsatz"/>
              <w:tabs>
                <w:tab w:val="left" w:pos="284"/>
                <w:tab w:val="left" w:pos="454"/>
              </w:tabs>
              <w:spacing w:after="120" w:line="260" w:lineRule="atLeast"/>
              <w:ind w:left="0"/>
              <w:jc w:val="both"/>
              <w:rPr>
                <w:rFonts w:ascii="Arial" w:hAnsi="Arial" w:cs="Arial"/>
                <w:lang w:val="it-CH"/>
              </w:rPr>
            </w:pPr>
          </w:p>
          <w:p w14:paraId="13DB375D" w14:textId="330336A2" w:rsidR="003D527E" w:rsidRPr="00090F4B" w:rsidRDefault="003D527E" w:rsidP="00F34107">
            <w:pPr>
              <w:pStyle w:val="Listenabsatz"/>
              <w:numPr>
                <w:ilvl w:val="0"/>
                <w:numId w:val="34"/>
              </w:numPr>
              <w:tabs>
                <w:tab w:val="left" w:pos="284"/>
                <w:tab w:val="left" w:pos="454"/>
              </w:tabs>
              <w:spacing w:after="120" w:line="260" w:lineRule="atLeast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Se il colpevole, al momento </w:t>
            </w:r>
            <w:proofErr w:type="spellStart"/>
            <w:r w:rsidRPr="00090F4B">
              <w:rPr>
                <w:rFonts w:ascii="Arial" w:hAnsi="Arial" w:cs="Arial"/>
                <w:lang w:val="it-CH"/>
              </w:rPr>
              <w:t>dellʼatto</w:t>
            </w:r>
            <w:proofErr w:type="spellEnd"/>
            <w:r w:rsidRPr="00090F4B">
              <w:rPr>
                <w:rFonts w:ascii="Arial" w:hAnsi="Arial" w:cs="Arial"/>
                <w:lang w:val="it-CH"/>
              </w:rPr>
              <w:t xml:space="preserve">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o del primo atto</w:t>
            </w:r>
            <w:r w:rsidRPr="00090F4B">
              <w:rPr>
                <w:rFonts w:ascii="Arial" w:hAnsi="Arial" w:cs="Arial"/>
                <w:lang w:val="it-CH"/>
              </w:rPr>
              <w:t xml:space="preserve">, non aveva ancora compiuto i </w:t>
            </w:r>
            <w:proofErr w:type="spellStart"/>
            <w:r w:rsidRPr="00090F4B">
              <w:rPr>
                <w:rFonts w:ascii="Arial" w:hAnsi="Arial" w:cs="Arial"/>
                <w:lang w:val="it-CH"/>
              </w:rPr>
              <w:t>ventʼanni</w:t>
            </w:r>
            <w:proofErr w:type="spellEnd"/>
            <w:r w:rsidRPr="00090F4B">
              <w:rPr>
                <w:rFonts w:ascii="Arial" w:hAnsi="Arial" w:cs="Arial"/>
                <w:lang w:val="it-CH"/>
              </w:rPr>
              <w:t xml:space="preserve"> e sussistono circostanze particolari </w:t>
            </w:r>
            <w:r w:rsidRPr="00090F4B">
              <w:rPr>
                <w:rFonts w:ascii="Arial" w:hAnsi="Arial" w:cs="Arial"/>
                <w:strike/>
                <w:color w:val="FF0000"/>
                <w:lang w:val="it-CH"/>
              </w:rPr>
              <w:t>o se la vittima ha contratto con lui matrimonio o un’unione domestica registrata</w:t>
            </w:r>
            <w:r w:rsidRPr="00090F4B">
              <w:rPr>
                <w:rFonts w:ascii="Arial" w:hAnsi="Arial" w:cs="Arial"/>
                <w:lang w:val="it-CH"/>
              </w:rPr>
              <w:t xml:space="preserve">, l’autorità competente può prescindere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dal procedimento penale</w:t>
            </w:r>
            <w:r w:rsidRPr="00090F4B">
              <w:rPr>
                <w:rFonts w:ascii="Arial" w:hAnsi="Arial" w:cs="Arial"/>
                <w:lang w:val="it-CH"/>
              </w:rPr>
              <w:t>, dal rinvio a giudizio o dalla punizione.</w:t>
            </w:r>
          </w:p>
        </w:tc>
      </w:tr>
      <w:tr w:rsidR="00BA024D" w:rsidRPr="00090F4B" w14:paraId="1E362629" w14:textId="77777777" w:rsidTr="005854EB">
        <w:tc>
          <w:tcPr>
            <w:tcW w:w="3543" w:type="dxa"/>
          </w:tcPr>
          <w:p w14:paraId="76AC7E5A" w14:textId="59C7409C" w:rsidR="00D64668" w:rsidRPr="00090F4B" w:rsidRDefault="001B5820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Art. </w:t>
            </w:r>
            <w:r w:rsidR="004C2A46" w:rsidRPr="00090F4B">
              <w:rPr>
                <w:rFonts w:ascii="Arial" w:hAnsi="Arial" w:cs="Arial"/>
                <w:b/>
                <w:bCs/>
                <w:lang w:val="it-CH"/>
              </w:rPr>
              <w:t>157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 CPM</w:t>
            </w:r>
          </w:p>
          <w:p w14:paraId="52783616" w14:textId="043E62B6" w:rsidR="00D64668" w:rsidRPr="00090F4B" w:rsidRDefault="003D527E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Abuso della posizione militare</w:t>
            </w:r>
          </w:p>
        </w:tc>
        <w:tc>
          <w:tcPr>
            <w:tcW w:w="5671" w:type="dxa"/>
          </w:tcPr>
          <w:p w14:paraId="68BFB957" w14:textId="45E255E0" w:rsidR="00D64668" w:rsidRPr="00090F4B" w:rsidRDefault="003D527E" w:rsidP="00F34107">
            <w:pPr>
              <w:tabs>
                <w:tab w:val="left" w:pos="284"/>
                <w:tab w:val="left" w:pos="454"/>
              </w:tabs>
              <w:spacing w:after="120" w:line="260" w:lineRule="atLeast"/>
              <w:rPr>
                <w:rFonts w:ascii="Arial" w:hAnsi="Arial" w:cs="Arial"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Chiunque, profittando della sua posizione militare,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fa compiere o subire</w:t>
            </w:r>
            <w:r w:rsidRPr="00090F4B">
              <w:rPr>
                <w:rFonts w:ascii="Arial" w:hAnsi="Arial" w:cs="Arial"/>
                <w:lang w:val="it-CH"/>
              </w:rPr>
              <w:t xml:space="preserve"> un atto sessuale a una persona, è punito con una pena detentiva sino a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cinque</w:t>
            </w:r>
            <w:r w:rsidRPr="00090F4B">
              <w:rPr>
                <w:rFonts w:ascii="Arial" w:hAnsi="Arial" w:cs="Arial"/>
                <w:lang w:val="it-CH"/>
              </w:rPr>
              <w:t xml:space="preserve"> anni o con una pena pecuniaria </w:t>
            </w:r>
            <w:r w:rsidRPr="00090F4B">
              <w:rPr>
                <w:rFonts w:ascii="Arial" w:hAnsi="Arial" w:cs="Arial"/>
                <w:strike/>
                <w:color w:val="FF0000"/>
                <w:lang w:val="it-CH"/>
              </w:rPr>
              <w:t>non inferiore a 30 aliquote giornaliere</w:t>
            </w:r>
            <w:r w:rsidRPr="00090F4B">
              <w:rPr>
                <w:rFonts w:ascii="Arial" w:hAnsi="Arial" w:cs="Arial"/>
                <w:lang w:val="it-CH"/>
              </w:rPr>
              <w:t>.</w:t>
            </w:r>
          </w:p>
        </w:tc>
      </w:tr>
      <w:tr w:rsidR="00C945E4" w:rsidRPr="00090F4B" w14:paraId="4D3C92E3" w14:textId="77777777" w:rsidTr="005854EB">
        <w:tc>
          <w:tcPr>
            <w:tcW w:w="3543" w:type="dxa"/>
          </w:tcPr>
          <w:p w14:paraId="49BD9A5F" w14:textId="18E92758" w:rsidR="00D64668" w:rsidRPr="00090F4B" w:rsidRDefault="001B5820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Art. </w:t>
            </w:r>
            <w:r w:rsidR="004C2A46" w:rsidRPr="00090F4B">
              <w:rPr>
                <w:rFonts w:ascii="Arial" w:hAnsi="Arial" w:cs="Arial"/>
                <w:b/>
                <w:bCs/>
                <w:lang w:val="it-CH"/>
              </w:rPr>
              <w:t>158 CPM</w:t>
            </w:r>
          </w:p>
          <w:p w14:paraId="09D81AF0" w14:textId="2ED1892F" w:rsidR="00D64668" w:rsidRPr="00090F4B" w:rsidRDefault="003D527E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color w:val="FF0000"/>
                <w:lang w:val="it-CH"/>
              </w:rPr>
              <w:t>Inganno circa il carattere sessuale di un atto</w:t>
            </w:r>
          </w:p>
        </w:tc>
        <w:tc>
          <w:tcPr>
            <w:tcW w:w="5671" w:type="dxa"/>
          </w:tcPr>
          <w:p w14:paraId="216C27B8" w14:textId="3B33FDDC" w:rsidR="00D64668" w:rsidRPr="00090F4B" w:rsidRDefault="003D527E" w:rsidP="00F34107">
            <w:pPr>
              <w:pStyle w:val="Listenabsatz"/>
              <w:tabs>
                <w:tab w:val="left" w:pos="284"/>
                <w:tab w:val="left" w:pos="454"/>
              </w:tabs>
              <w:spacing w:after="120" w:line="260" w:lineRule="atLeast"/>
              <w:ind w:left="0"/>
              <w:jc w:val="both"/>
              <w:rPr>
                <w:rFonts w:ascii="Arial" w:hAnsi="Arial" w:cs="Arial"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color w:val="FF0000"/>
                <w:lang w:val="it-CH"/>
              </w:rPr>
              <w:t>Chiunque, nell’esercizio di un’attività professionale o extraprofessionale organizzata nel settore sanitario fa compiere o subire ad una persona un atto sessuale ingannandola circa il carattere sessuale dell’atto o sfruttandone l’errore relativo al carattere dell’atto, è punito con una pena detentiva sino a cinque anni o con una pena pecuniaria</w:t>
            </w:r>
            <w:r w:rsidR="003C4198" w:rsidRPr="00090F4B">
              <w:rPr>
                <w:rFonts w:ascii="Arial" w:hAnsi="Arial" w:cs="Arial"/>
                <w:color w:val="FF0000"/>
                <w:lang w:val="it-CH"/>
              </w:rPr>
              <w:t>.</w:t>
            </w:r>
          </w:p>
        </w:tc>
      </w:tr>
    </w:tbl>
    <w:p w14:paraId="29AF7BF0" w14:textId="77777777" w:rsidR="005854EB" w:rsidRPr="00090F4B" w:rsidRDefault="005854EB">
      <w:pPr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br w:type="page"/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543"/>
        <w:gridCol w:w="5671"/>
      </w:tblGrid>
      <w:tr w:rsidR="003C4198" w:rsidRPr="00090F4B" w14:paraId="2E74BDA3" w14:textId="77777777" w:rsidTr="005854EB">
        <w:tc>
          <w:tcPr>
            <w:tcW w:w="3543" w:type="dxa"/>
          </w:tcPr>
          <w:p w14:paraId="641464E4" w14:textId="7F137D01" w:rsidR="003C4198" w:rsidRPr="00090F4B" w:rsidRDefault="00480D82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lastRenderedPageBreak/>
              <w:br w:type="page"/>
            </w:r>
            <w:r w:rsidR="003C4198" w:rsidRPr="00090F4B">
              <w:rPr>
                <w:rFonts w:ascii="Arial" w:hAnsi="Arial" w:cs="Arial"/>
                <w:b/>
                <w:bCs/>
                <w:lang w:val="it-CH"/>
              </w:rPr>
              <w:t>Art. 159 CPM</w:t>
            </w:r>
          </w:p>
          <w:p w14:paraId="4A155064" w14:textId="073DE967" w:rsidR="003C4198" w:rsidRPr="00090F4B" w:rsidRDefault="003D527E" w:rsidP="00A05292">
            <w:pPr>
              <w:spacing w:line="260" w:lineRule="atLeast"/>
              <w:rPr>
                <w:rFonts w:ascii="Arial" w:hAnsi="Arial" w:cs="Arial"/>
                <w:b/>
                <w:bCs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Esibizionismo</w:t>
            </w:r>
          </w:p>
        </w:tc>
        <w:tc>
          <w:tcPr>
            <w:tcW w:w="5671" w:type="dxa"/>
          </w:tcPr>
          <w:p w14:paraId="48B37C54" w14:textId="5D5857E7" w:rsidR="003C4198" w:rsidRPr="00090F4B" w:rsidRDefault="003D527E" w:rsidP="00F34107">
            <w:pPr>
              <w:pStyle w:val="Listenabsatz"/>
              <w:numPr>
                <w:ilvl w:val="0"/>
                <w:numId w:val="20"/>
              </w:numPr>
              <w:tabs>
                <w:tab w:val="clear" w:pos="720"/>
                <w:tab w:val="left" w:pos="284"/>
              </w:tabs>
              <w:spacing w:after="0" w:line="260" w:lineRule="atLeast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Chiunque compie un atto esibizionistico è punito con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la multa</w:t>
            </w:r>
            <w:r w:rsidR="003C4198" w:rsidRPr="00090F4B">
              <w:rPr>
                <w:rFonts w:ascii="Arial" w:hAnsi="Arial" w:cs="Arial"/>
                <w:lang w:val="it-CH"/>
              </w:rPr>
              <w:t>.</w:t>
            </w:r>
          </w:p>
          <w:p w14:paraId="219484EA" w14:textId="77777777" w:rsidR="005854EB" w:rsidRPr="00090F4B" w:rsidRDefault="005854EB" w:rsidP="00F34107">
            <w:pPr>
              <w:pStyle w:val="Listenabsatz"/>
              <w:tabs>
                <w:tab w:val="left" w:pos="33"/>
                <w:tab w:val="left" w:pos="284"/>
              </w:tabs>
              <w:spacing w:after="0" w:line="260" w:lineRule="atLeast"/>
              <w:ind w:left="0"/>
              <w:jc w:val="both"/>
              <w:rPr>
                <w:rFonts w:ascii="Arial" w:hAnsi="Arial" w:cs="Arial"/>
                <w:color w:val="FF0000"/>
                <w:lang w:val="it-CH"/>
              </w:rPr>
            </w:pPr>
          </w:p>
          <w:p w14:paraId="4627B7F9" w14:textId="7FA738F9" w:rsidR="003C4198" w:rsidRPr="00090F4B" w:rsidRDefault="003D527E" w:rsidP="00F34107">
            <w:pPr>
              <w:pStyle w:val="Listenabsatz"/>
              <w:numPr>
                <w:ilvl w:val="0"/>
                <w:numId w:val="20"/>
              </w:numPr>
              <w:tabs>
                <w:tab w:val="clear" w:pos="720"/>
                <w:tab w:val="left" w:pos="284"/>
              </w:tabs>
              <w:spacing w:after="0" w:line="260" w:lineRule="atLeast"/>
              <w:ind w:left="0" w:firstLine="0"/>
              <w:jc w:val="both"/>
              <w:rPr>
                <w:rFonts w:ascii="Arial" w:hAnsi="Arial" w:cs="Arial"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color w:val="FF0000"/>
                <w:lang w:val="it-CH"/>
              </w:rPr>
              <w:t>Nei casi gravi la pena è una pena pecuniaria</w:t>
            </w:r>
            <w:r w:rsidR="003C4198" w:rsidRPr="00090F4B">
              <w:rPr>
                <w:rFonts w:ascii="Arial" w:hAnsi="Arial" w:cs="Arial"/>
                <w:color w:val="FF0000"/>
                <w:lang w:val="it-CH"/>
              </w:rPr>
              <w:t>.</w:t>
            </w:r>
          </w:p>
          <w:p w14:paraId="67382EFE" w14:textId="77777777" w:rsidR="000B4E9E" w:rsidRPr="00090F4B" w:rsidRDefault="000B4E9E" w:rsidP="00F34107">
            <w:pPr>
              <w:pStyle w:val="Listenabsatz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color w:val="FF0000"/>
                <w:lang w:val="it-CH"/>
              </w:rPr>
            </w:pPr>
          </w:p>
          <w:p w14:paraId="283ECE1A" w14:textId="0268709C" w:rsidR="003D527E" w:rsidRPr="00090F4B" w:rsidRDefault="003D527E" w:rsidP="00F34107">
            <w:pPr>
              <w:numPr>
                <w:ilvl w:val="0"/>
                <w:numId w:val="20"/>
              </w:numPr>
              <w:tabs>
                <w:tab w:val="clear" w:pos="720"/>
                <w:tab w:val="left" w:pos="284"/>
              </w:tabs>
              <w:spacing w:line="260" w:lineRule="atLeast"/>
              <w:ind w:left="0" w:firstLine="0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Se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l’imputato</w:t>
            </w:r>
            <w:r w:rsidRPr="00090F4B">
              <w:rPr>
                <w:rFonts w:ascii="Arial" w:hAnsi="Arial" w:cs="Arial"/>
                <w:lang w:val="it-CH"/>
              </w:rPr>
              <w:t xml:space="preserve"> si sottopone a trattamento medico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 xml:space="preserve">su ordine dell’autorità competente, il procedimento è abbandonato. </w:t>
            </w:r>
            <w:r w:rsidRPr="00090F4B">
              <w:rPr>
                <w:rFonts w:ascii="Arial" w:hAnsi="Arial" w:cs="Arial"/>
                <w:strike/>
                <w:color w:val="FF0000"/>
                <w:lang w:val="it-CH"/>
              </w:rPr>
              <w:t>Esso sarà ripreso se il colpevole si sarà sottratto al trattamento</w:t>
            </w:r>
            <w:r w:rsidR="003C4198" w:rsidRPr="00090F4B">
              <w:rPr>
                <w:rFonts w:ascii="Arial" w:hAnsi="Arial" w:cs="Arial"/>
                <w:strike/>
                <w:color w:val="FF0000"/>
                <w:lang w:val="it-CH"/>
              </w:rPr>
              <w:t>.</w:t>
            </w:r>
          </w:p>
          <w:p w14:paraId="1931D82C" w14:textId="77777777" w:rsidR="003D527E" w:rsidRPr="00090F4B" w:rsidRDefault="003D527E" w:rsidP="00F34107">
            <w:pPr>
              <w:tabs>
                <w:tab w:val="left" w:pos="284"/>
              </w:tabs>
              <w:spacing w:line="260" w:lineRule="atLeast"/>
              <w:rPr>
                <w:rFonts w:ascii="Arial" w:hAnsi="Arial" w:cs="Arial"/>
                <w:lang w:val="it-CH"/>
              </w:rPr>
            </w:pPr>
          </w:p>
          <w:p w14:paraId="2EB9F18F" w14:textId="6773E652" w:rsidR="003C4198" w:rsidRPr="00090F4B" w:rsidRDefault="003D527E" w:rsidP="00F34107">
            <w:pPr>
              <w:numPr>
                <w:ilvl w:val="0"/>
                <w:numId w:val="20"/>
              </w:numPr>
              <w:tabs>
                <w:tab w:val="clear" w:pos="720"/>
                <w:tab w:val="left" w:pos="284"/>
              </w:tabs>
              <w:spacing w:line="260" w:lineRule="atLeast"/>
              <w:ind w:left="0" w:firstLine="0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Nei casi poco gravi si applica una pena disciplinare</w:t>
            </w:r>
            <w:r w:rsidR="003C4198" w:rsidRPr="00090F4B">
              <w:rPr>
                <w:rFonts w:ascii="Arial" w:hAnsi="Arial" w:cs="Arial"/>
                <w:lang w:val="it-CH"/>
              </w:rPr>
              <w:t>.</w:t>
            </w:r>
          </w:p>
        </w:tc>
      </w:tr>
      <w:tr w:rsidR="003C4198" w:rsidRPr="00090F4B" w14:paraId="2B199409" w14:textId="77777777" w:rsidTr="005854EB">
        <w:tc>
          <w:tcPr>
            <w:tcW w:w="3543" w:type="dxa"/>
          </w:tcPr>
          <w:p w14:paraId="7D831D58" w14:textId="6863BED3" w:rsidR="003C4198" w:rsidRPr="00090F4B" w:rsidRDefault="003C4198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>Art. 159a</w:t>
            </w:r>
            <w:r w:rsidR="003344AE" w:rsidRPr="00090F4B">
              <w:rPr>
                <w:rFonts w:ascii="Arial" w:hAnsi="Arial" w:cs="Arial"/>
                <w:b/>
                <w:bCs/>
                <w:lang w:val="it-CH"/>
              </w:rPr>
              <w:t xml:space="preserve"> 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>CPM</w:t>
            </w:r>
          </w:p>
          <w:p w14:paraId="4548227D" w14:textId="276F66D3" w:rsidR="003C4198" w:rsidRPr="00090F4B" w:rsidRDefault="00736900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Molestie sessuali</w:t>
            </w:r>
          </w:p>
        </w:tc>
        <w:tc>
          <w:tcPr>
            <w:tcW w:w="5671" w:type="dxa"/>
          </w:tcPr>
          <w:p w14:paraId="676B34A1" w14:textId="7800C739" w:rsidR="00736900" w:rsidRPr="00090F4B" w:rsidRDefault="00736900" w:rsidP="00F34107">
            <w:pPr>
              <w:pStyle w:val="Listenabsatz"/>
              <w:numPr>
                <w:ilvl w:val="0"/>
                <w:numId w:val="35"/>
              </w:numPr>
              <w:tabs>
                <w:tab w:val="left" w:pos="284"/>
              </w:tabs>
              <w:spacing w:line="260" w:lineRule="atLeast"/>
              <w:ind w:left="0" w:firstLine="0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Chiunque causa scandalo compiendo un atto sessuale in presenza di una persona che non se lo aspettava,</w:t>
            </w:r>
          </w:p>
          <w:p w14:paraId="16CF04C5" w14:textId="77777777" w:rsidR="00736900" w:rsidRPr="00090F4B" w:rsidRDefault="00736900" w:rsidP="00F34107">
            <w:pPr>
              <w:tabs>
                <w:tab w:val="left" w:pos="284"/>
              </w:tabs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chiunque, mediante vie di fatto o, impudentemente, mediante parole,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scritti o immagini</w:t>
            </w:r>
            <w:r w:rsidRPr="00090F4B">
              <w:rPr>
                <w:rFonts w:ascii="Arial" w:hAnsi="Arial" w:cs="Arial"/>
                <w:lang w:val="it-CH"/>
              </w:rPr>
              <w:t>, molesta sessualmente una persona,</w:t>
            </w:r>
          </w:p>
          <w:p w14:paraId="1EF6ABD8" w14:textId="77777777" w:rsidR="00736900" w:rsidRPr="00090F4B" w:rsidRDefault="00736900" w:rsidP="00F34107">
            <w:pPr>
              <w:tabs>
                <w:tab w:val="left" w:pos="284"/>
              </w:tabs>
              <w:spacing w:line="260" w:lineRule="atLeast"/>
              <w:rPr>
                <w:rFonts w:ascii="Arial" w:hAnsi="Arial" w:cs="Arial"/>
                <w:lang w:val="it-CH"/>
              </w:rPr>
            </w:pPr>
          </w:p>
          <w:p w14:paraId="782B52BC" w14:textId="77777777" w:rsidR="00736900" w:rsidRPr="00090F4B" w:rsidRDefault="00736900" w:rsidP="00F34107">
            <w:pPr>
              <w:tabs>
                <w:tab w:val="left" w:pos="284"/>
              </w:tabs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è punito con la multa.</w:t>
            </w:r>
          </w:p>
          <w:p w14:paraId="5D89AA6B" w14:textId="77777777" w:rsidR="003344AE" w:rsidRPr="00090F4B" w:rsidRDefault="003344AE" w:rsidP="00F34107">
            <w:pPr>
              <w:pStyle w:val="Listenabsatz"/>
              <w:tabs>
                <w:tab w:val="left" w:pos="284"/>
                <w:tab w:val="left" w:pos="1537"/>
              </w:tabs>
              <w:spacing w:after="0" w:line="260" w:lineRule="atLeast"/>
              <w:ind w:left="0"/>
              <w:jc w:val="both"/>
              <w:rPr>
                <w:rFonts w:ascii="Arial" w:hAnsi="Arial" w:cs="Arial"/>
                <w:color w:val="FF0000"/>
                <w:lang w:val="it-CH"/>
              </w:rPr>
            </w:pPr>
          </w:p>
          <w:p w14:paraId="7BD32D3A" w14:textId="5C729DF2" w:rsidR="003344AE" w:rsidRPr="00090F4B" w:rsidRDefault="003344AE" w:rsidP="00B97A57">
            <w:pPr>
              <w:pStyle w:val="Listenabsatz"/>
              <w:tabs>
                <w:tab w:val="left" w:pos="284"/>
                <w:tab w:val="left" w:pos="454"/>
                <w:tab w:val="left" w:pos="1537"/>
              </w:tabs>
              <w:spacing w:after="0" w:line="260" w:lineRule="atLeast"/>
              <w:ind w:left="0"/>
              <w:jc w:val="both"/>
              <w:rPr>
                <w:rFonts w:ascii="Arial" w:hAnsi="Arial" w:cs="Arial"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color w:val="FF0000"/>
                <w:lang w:val="it-CH"/>
              </w:rPr>
              <w:t>1</w:t>
            </w:r>
            <w:r w:rsidRPr="00090F4B">
              <w:rPr>
                <w:rFonts w:ascii="Arial" w:hAnsi="Arial" w:cs="Arial"/>
                <w:color w:val="FF0000"/>
                <w:vertAlign w:val="superscript"/>
                <w:lang w:val="it-CH"/>
              </w:rPr>
              <w:t>bis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 xml:space="preserve"> </w:t>
            </w:r>
            <w:r w:rsidR="00F34107" w:rsidRPr="00090F4B">
              <w:rPr>
                <w:rFonts w:ascii="Arial" w:hAnsi="Arial" w:cs="Arial"/>
                <w:color w:val="FF0000"/>
                <w:lang w:val="it-CH"/>
              </w:rPr>
              <w:tab/>
            </w:r>
            <w:r w:rsidR="00736900" w:rsidRPr="00090F4B">
              <w:rPr>
                <w:rFonts w:ascii="Arial" w:hAnsi="Arial" w:cs="Arial"/>
                <w:color w:val="FF0000"/>
                <w:lang w:val="it-CH"/>
              </w:rPr>
              <w:t>L’autorità competente può obbligare l’imputato a seguire un programma rieducativo. Se l’imputato porta a termine il programma, il procedimento è abbandonato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.</w:t>
            </w:r>
          </w:p>
          <w:p w14:paraId="06ECB556" w14:textId="77777777" w:rsidR="003344AE" w:rsidRPr="00090F4B" w:rsidRDefault="003344AE" w:rsidP="00B97A57">
            <w:pPr>
              <w:pStyle w:val="Listenabsatz"/>
              <w:tabs>
                <w:tab w:val="left" w:pos="284"/>
                <w:tab w:val="left" w:pos="454"/>
                <w:tab w:val="left" w:pos="1537"/>
              </w:tabs>
              <w:spacing w:after="0" w:line="260" w:lineRule="atLeast"/>
              <w:ind w:left="0"/>
              <w:jc w:val="both"/>
              <w:rPr>
                <w:rFonts w:ascii="Arial" w:hAnsi="Arial" w:cs="Arial"/>
                <w:color w:val="FF0000"/>
                <w:lang w:val="it-CH"/>
              </w:rPr>
            </w:pPr>
          </w:p>
          <w:p w14:paraId="3E1D67FB" w14:textId="72059190" w:rsidR="003344AE" w:rsidRPr="00090F4B" w:rsidRDefault="003344AE" w:rsidP="00B97A57">
            <w:pPr>
              <w:pStyle w:val="Listenabsatz"/>
              <w:tabs>
                <w:tab w:val="left" w:pos="284"/>
                <w:tab w:val="left" w:pos="454"/>
                <w:tab w:val="left" w:pos="1537"/>
              </w:tabs>
              <w:spacing w:after="0" w:line="260" w:lineRule="atLeast"/>
              <w:ind w:left="0"/>
              <w:jc w:val="both"/>
              <w:rPr>
                <w:rFonts w:ascii="Arial" w:hAnsi="Arial" w:cs="Arial"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color w:val="FF0000"/>
                <w:lang w:val="it-CH"/>
              </w:rPr>
              <w:t>1</w:t>
            </w:r>
            <w:r w:rsidRPr="00090F4B">
              <w:rPr>
                <w:rFonts w:ascii="Arial" w:hAnsi="Arial" w:cs="Arial"/>
                <w:color w:val="FF0000"/>
                <w:vertAlign w:val="superscript"/>
                <w:lang w:val="it-CH"/>
              </w:rPr>
              <w:t>ter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 xml:space="preserve"> </w:t>
            </w:r>
            <w:r w:rsidR="00B97A57" w:rsidRPr="00090F4B">
              <w:rPr>
                <w:rFonts w:ascii="Arial" w:hAnsi="Arial" w:cs="Arial"/>
                <w:color w:val="FF0000"/>
                <w:lang w:val="it-CH"/>
              </w:rPr>
              <w:tab/>
            </w:r>
            <w:r w:rsidR="00736900" w:rsidRPr="00090F4B">
              <w:rPr>
                <w:rFonts w:ascii="Arial" w:hAnsi="Arial" w:cs="Arial"/>
                <w:color w:val="FF0000"/>
                <w:lang w:val="it-CH"/>
              </w:rPr>
              <w:t>L’autorità competente decide in merito ai costi del procedimento e a eventuali pretese della parte civile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.</w:t>
            </w:r>
          </w:p>
          <w:p w14:paraId="62F5209C" w14:textId="77777777" w:rsidR="003344AE" w:rsidRPr="00090F4B" w:rsidRDefault="003344AE" w:rsidP="00B97A57">
            <w:pPr>
              <w:pStyle w:val="Listenabsatz"/>
              <w:tabs>
                <w:tab w:val="left" w:pos="284"/>
                <w:tab w:val="left" w:pos="454"/>
                <w:tab w:val="left" w:pos="1537"/>
              </w:tabs>
              <w:spacing w:after="0" w:line="260" w:lineRule="atLeast"/>
              <w:ind w:left="0"/>
              <w:jc w:val="both"/>
              <w:rPr>
                <w:rFonts w:ascii="Arial" w:hAnsi="Arial" w:cs="Arial"/>
                <w:color w:val="FF0000"/>
                <w:lang w:val="it-CH"/>
              </w:rPr>
            </w:pPr>
          </w:p>
          <w:p w14:paraId="7B5FF3D1" w14:textId="0187B544" w:rsidR="003C4198" w:rsidRPr="00090F4B" w:rsidRDefault="00736900" w:rsidP="00F34107">
            <w:pPr>
              <w:pStyle w:val="Listenabsatz"/>
              <w:numPr>
                <w:ilvl w:val="0"/>
                <w:numId w:val="35"/>
              </w:numPr>
              <w:tabs>
                <w:tab w:val="left" w:pos="284"/>
              </w:tabs>
              <w:spacing w:after="120" w:line="260" w:lineRule="atLeast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Nei casi poco gravi si applica una pena disciplinare</w:t>
            </w:r>
            <w:r w:rsidR="003344AE" w:rsidRPr="00090F4B">
              <w:rPr>
                <w:rFonts w:ascii="Arial" w:hAnsi="Arial" w:cs="Arial"/>
                <w:lang w:val="it-CH"/>
              </w:rPr>
              <w:t>.</w:t>
            </w:r>
          </w:p>
        </w:tc>
      </w:tr>
      <w:tr w:rsidR="003344AE" w:rsidRPr="00090F4B" w14:paraId="3BF5D49F" w14:textId="77777777" w:rsidTr="005854EB">
        <w:tc>
          <w:tcPr>
            <w:tcW w:w="3543" w:type="dxa"/>
          </w:tcPr>
          <w:p w14:paraId="21581878" w14:textId="57106E1F" w:rsidR="003344AE" w:rsidRPr="00090F4B" w:rsidRDefault="003344AE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>Art. 159b</w:t>
            </w:r>
            <w:r w:rsidR="004B68E8" w:rsidRPr="00090F4B">
              <w:rPr>
                <w:rFonts w:ascii="Arial" w:hAnsi="Arial" w:cs="Arial"/>
                <w:b/>
                <w:bCs/>
                <w:lang w:val="it-CH"/>
              </w:rPr>
              <w:t xml:space="preserve"> 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>CPM</w:t>
            </w:r>
          </w:p>
          <w:p w14:paraId="16FE2DA2" w14:textId="30CDCB4F" w:rsidR="003344AE" w:rsidRPr="00090F4B" w:rsidRDefault="00736900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Reato collettivo</w:t>
            </w:r>
          </w:p>
        </w:tc>
        <w:tc>
          <w:tcPr>
            <w:tcW w:w="5671" w:type="dxa"/>
          </w:tcPr>
          <w:p w14:paraId="3029502E" w14:textId="1AF561E4" w:rsidR="003344AE" w:rsidRPr="00090F4B" w:rsidRDefault="00736900" w:rsidP="00F34107">
            <w:pPr>
              <w:tabs>
                <w:tab w:val="left" w:pos="284"/>
                <w:tab w:val="left" w:pos="1537"/>
              </w:tabs>
              <w:spacing w:after="120"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Se un reato previsto nel presente capo è stato commesso insieme da più persone, il giudice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aumenta</w:t>
            </w:r>
            <w:r w:rsidRPr="00090F4B">
              <w:rPr>
                <w:rFonts w:ascii="Arial" w:hAnsi="Arial" w:cs="Arial"/>
                <w:lang w:val="it-CH"/>
              </w:rPr>
              <w:t xml:space="preserve"> la pena.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Non può tuttavia aumentare di oltre la metà il massimo della pena comminata. È in ogni modo vincolato al massimo legale della specie di pena.</w:t>
            </w:r>
          </w:p>
        </w:tc>
      </w:tr>
    </w:tbl>
    <w:p w14:paraId="17A54646" w14:textId="396B831C" w:rsidR="005854EB" w:rsidRPr="00090F4B" w:rsidRDefault="005854EB">
      <w:pPr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br w:type="page"/>
      </w:r>
    </w:p>
    <w:p w14:paraId="6C91949F" w14:textId="39FE9890" w:rsidR="005854EB" w:rsidRPr="00090F4B" w:rsidRDefault="006409B9" w:rsidP="00B97A57">
      <w:pPr>
        <w:pStyle w:val="Titel2"/>
        <w:jc w:val="left"/>
        <w:rPr>
          <w:rFonts w:ascii="Arial" w:hAnsi="Arial" w:cs="Arial"/>
          <w:lang w:val="it-CH"/>
        </w:rPr>
      </w:pPr>
      <w:bookmarkStart w:id="6" w:name="_Toc191470069"/>
      <w:bookmarkStart w:id="7" w:name="_Toc195801092"/>
      <w:r w:rsidRPr="00090F4B">
        <w:rPr>
          <w:rFonts w:ascii="Arial" w:hAnsi="Arial" w:cs="Arial"/>
          <w:lang w:val="it-CH"/>
        </w:rPr>
        <w:lastRenderedPageBreak/>
        <w:t>Modifica</w:t>
      </w:r>
      <w:r w:rsidR="001A793E" w:rsidRPr="00090F4B">
        <w:rPr>
          <w:rFonts w:ascii="Arial" w:hAnsi="Arial" w:cs="Arial"/>
          <w:lang w:val="it-CH"/>
        </w:rPr>
        <w:t xml:space="preserve"> </w:t>
      </w:r>
      <w:r w:rsidR="0006153E" w:rsidRPr="00090F4B">
        <w:rPr>
          <w:rFonts w:ascii="Arial" w:hAnsi="Arial" w:cs="Arial"/>
          <w:lang w:val="it-CH"/>
        </w:rPr>
        <w:t>del</w:t>
      </w:r>
      <w:r w:rsidR="005854EB" w:rsidRPr="00090F4B">
        <w:rPr>
          <w:rFonts w:ascii="Arial" w:hAnsi="Arial" w:cs="Arial"/>
          <w:lang w:val="it-CH"/>
        </w:rPr>
        <w:t xml:space="preserve"> 1</w:t>
      </w:r>
      <w:r w:rsidR="0006153E" w:rsidRPr="00090F4B">
        <w:rPr>
          <w:rFonts w:ascii="Arial" w:hAnsi="Arial" w:cs="Arial"/>
          <w:lang w:val="it-CH"/>
        </w:rPr>
        <w:t>°</w:t>
      </w:r>
      <w:r w:rsidR="005854EB" w:rsidRPr="00090F4B">
        <w:rPr>
          <w:rFonts w:ascii="Arial" w:hAnsi="Arial" w:cs="Arial"/>
          <w:lang w:val="it-CH"/>
        </w:rPr>
        <w:t xml:space="preserve"> </w:t>
      </w:r>
      <w:r w:rsidR="001A793E" w:rsidRPr="00090F4B">
        <w:rPr>
          <w:rFonts w:ascii="Arial" w:hAnsi="Arial" w:cs="Arial"/>
          <w:lang w:val="it-CH"/>
        </w:rPr>
        <w:t>gennaio</w:t>
      </w:r>
      <w:r w:rsidR="005854EB" w:rsidRPr="00090F4B">
        <w:rPr>
          <w:rFonts w:ascii="Arial" w:hAnsi="Arial" w:cs="Arial"/>
          <w:lang w:val="it-CH"/>
        </w:rPr>
        <w:t xml:space="preserve"> 2025 </w:t>
      </w:r>
      <w:r w:rsidR="001A793E" w:rsidRPr="00090F4B">
        <w:rPr>
          <w:rFonts w:ascii="Arial" w:hAnsi="Arial" w:cs="Arial"/>
          <w:lang w:val="it-CH"/>
        </w:rPr>
        <w:t>sulla base della legge federale sulla lotta contro l’abuso del fallimento</w:t>
      </w:r>
      <w:bookmarkEnd w:id="6"/>
      <w:bookmarkEnd w:id="7"/>
      <w:r w:rsidR="001A793E" w:rsidRPr="00090F4B">
        <w:rPr>
          <w:rFonts w:ascii="Arial" w:hAnsi="Arial" w:cs="Arial"/>
          <w:lang w:val="it-CH"/>
        </w:rPr>
        <w:t xml:space="preserve"> </w:t>
      </w:r>
    </w:p>
    <w:p w14:paraId="281EA2E3" w14:textId="77777777" w:rsidR="001A793E" w:rsidRPr="00090F4B" w:rsidRDefault="001A793E">
      <w:pPr>
        <w:rPr>
          <w:rFonts w:ascii="Arial" w:hAnsi="Arial" w:cs="Arial"/>
          <w:lang w:val="it-CH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8154F8" w:rsidRPr="00090F4B" w14:paraId="26962EC7" w14:textId="77777777" w:rsidTr="005854EB">
        <w:tc>
          <w:tcPr>
            <w:tcW w:w="3969" w:type="dxa"/>
          </w:tcPr>
          <w:p w14:paraId="7D4C64AE" w14:textId="5AF34DA0" w:rsidR="00D64668" w:rsidRPr="00090F4B" w:rsidRDefault="001B5820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>Artic</w:t>
            </w:r>
            <w:r w:rsidR="001A793E" w:rsidRPr="00090F4B">
              <w:rPr>
                <w:rFonts w:ascii="Arial" w:hAnsi="Arial" w:cs="Arial"/>
                <w:b/>
                <w:bCs/>
                <w:lang w:val="it-CH"/>
              </w:rPr>
              <w:t>olo</w:t>
            </w:r>
          </w:p>
        </w:tc>
        <w:tc>
          <w:tcPr>
            <w:tcW w:w="5245" w:type="dxa"/>
          </w:tcPr>
          <w:p w14:paraId="76BF5E6B" w14:textId="666DFC39" w:rsidR="00D64668" w:rsidRPr="00090F4B" w:rsidRDefault="001A793E" w:rsidP="00B97A57">
            <w:pPr>
              <w:tabs>
                <w:tab w:val="left" w:pos="284"/>
              </w:tabs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>Modifica</w:t>
            </w:r>
          </w:p>
        </w:tc>
      </w:tr>
      <w:tr w:rsidR="008154F8" w:rsidRPr="00090F4B" w14:paraId="17E94957" w14:textId="77777777" w:rsidTr="005854EB">
        <w:tc>
          <w:tcPr>
            <w:tcW w:w="3969" w:type="dxa"/>
          </w:tcPr>
          <w:p w14:paraId="6A8D3E2A" w14:textId="4D307A49" w:rsidR="00D64668" w:rsidRPr="00090F4B" w:rsidRDefault="001B5820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Art. </w:t>
            </w:r>
            <w:r w:rsidR="004B68E8" w:rsidRPr="00090F4B">
              <w:rPr>
                <w:rFonts w:ascii="Arial" w:hAnsi="Arial" w:cs="Arial"/>
                <w:b/>
                <w:bCs/>
                <w:lang w:val="it-CH"/>
              </w:rPr>
              <w:t xml:space="preserve">50a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cpv.</w:t>
            </w:r>
            <w:r w:rsidR="004B68E8" w:rsidRPr="00090F4B">
              <w:rPr>
                <w:rFonts w:ascii="Arial" w:hAnsi="Arial" w:cs="Arial"/>
                <w:b/>
                <w:bCs/>
                <w:lang w:val="it-CH"/>
              </w:rPr>
              <w:t xml:space="preserve"> 2</w:t>
            </w:r>
            <w:r w:rsidR="00F746C1" w:rsidRPr="00090F4B">
              <w:rPr>
                <w:rFonts w:ascii="Arial" w:hAnsi="Arial" w:cs="Arial"/>
                <w:b/>
                <w:bCs/>
                <w:lang w:val="it-CH"/>
              </w:rPr>
              <w:t xml:space="preserve"> CPM</w:t>
            </w:r>
          </w:p>
          <w:p w14:paraId="4796C21A" w14:textId="3E4DD447" w:rsidR="00D64668" w:rsidRPr="00090F4B" w:rsidRDefault="00EE0BB9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Contenuto e portata</w:t>
            </w:r>
          </w:p>
        </w:tc>
        <w:tc>
          <w:tcPr>
            <w:tcW w:w="5245" w:type="dxa"/>
          </w:tcPr>
          <w:p w14:paraId="2A8A54F0" w14:textId="74793E6D" w:rsidR="00D64668" w:rsidRPr="00090F4B" w:rsidRDefault="001A793E" w:rsidP="00B97A57">
            <w:pPr>
              <w:pStyle w:val="Listenabsatz"/>
              <w:numPr>
                <w:ilvl w:val="4"/>
                <w:numId w:val="8"/>
              </w:numPr>
              <w:tabs>
                <w:tab w:val="left" w:pos="284"/>
              </w:tabs>
              <w:spacing w:after="120" w:line="260" w:lineRule="atLeast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proofErr w:type="spellStart"/>
            <w:r w:rsidRPr="00090F4B">
              <w:rPr>
                <w:rFonts w:ascii="Arial" w:hAnsi="Arial" w:cs="Arial"/>
                <w:lang w:val="it-CH"/>
              </w:rPr>
              <w:t>Lʼinterdizione</w:t>
            </w:r>
            <w:proofErr w:type="spellEnd"/>
            <w:r w:rsidRPr="00090F4B">
              <w:rPr>
                <w:rFonts w:ascii="Arial" w:hAnsi="Arial" w:cs="Arial"/>
                <w:lang w:val="it-CH"/>
              </w:rPr>
              <w:t xml:space="preserve"> ai sensi </w:t>
            </w:r>
            <w:proofErr w:type="spellStart"/>
            <w:r w:rsidRPr="00090F4B">
              <w:rPr>
                <w:rFonts w:ascii="Arial" w:hAnsi="Arial" w:cs="Arial"/>
                <w:lang w:val="it-CH"/>
              </w:rPr>
              <w:t>dellʼarticolo</w:t>
            </w:r>
            <w:proofErr w:type="spellEnd"/>
            <w:r w:rsidRPr="00090F4B">
              <w:rPr>
                <w:rFonts w:ascii="Arial" w:hAnsi="Arial" w:cs="Arial"/>
                <w:lang w:val="it-CH"/>
              </w:rPr>
              <w:t xml:space="preserve"> 50 vieta </w:t>
            </w:r>
            <w:proofErr w:type="spellStart"/>
            <w:r w:rsidRPr="00090F4B">
              <w:rPr>
                <w:rFonts w:ascii="Arial" w:hAnsi="Arial" w:cs="Arial"/>
                <w:lang w:val="it-CH"/>
              </w:rPr>
              <w:t>allʼautore</w:t>
            </w:r>
            <w:proofErr w:type="spellEnd"/>
            <w:r w:rsidRPr="00090F4B">
              <w:rPr>
                <w:rFonts w:ascii="Arial" w:hAnsi="Arial" w:cs="Arial"/>
                <w:lang w:val="it-CH"/>
              </w:rPr>
              <w:t xml:space="preserve"> di esercitare attività a titolo indipendente o in veste di organo di una persona giuridica o di una società commerciale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o in un’altra funzione da iscrivere nel registro di commercio</w:t>
            </w:r>
            <w:r w:rsidRPr="00090F4B">
              <w:rPr>
                <w:rFonts w:ascii="Arial" w:hAnsi="Arial" w:cs="Arial"/>
                <w:lang w:val="it-CH"/>
              </w:rPr>
              <w:t>, nonché di mandatario o rappresentante di terzi, come pure di farle esercitare da una persona sottoposta alle sue istruzioni</w:t>
            </w:r>
            <w:r w:rsidR="004B68E8" w:rsidRPr="00090F4B">
              <w:rPr>
                <w:rFonts w:ascii="Arial" w:hAnsi="Arial" w:cs="Arial"/>
                <w:lang w:val="it-CH"/>
              </w:rPr>
              <w:t>.</w:t>
            </w:r>
          </w:p>
        </w:tc>
      </w:tr>
    </w:tbl>
    <w:p w14:paraId="12C52722" w14:textId="2EB9DBC2" w:rsidR="00C06189" w:rsidRPr="00090F4B" w:rsidRDefault="005854EB" w:rsidP="0006153E">
      <w:pPr>
        <w:pStyle w:val="Titel1"/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br w:type="page"/>
      </w:r>
      <w:bookmarkStart w:id="8" w:name="_Toc191470070"/>
      <w:bookmarkStart w:id="9" w:name="_Toc195801093"/>
      <w:r w:rsidRPr="00090F4B">
        <w:rPr>
          <w:rFonts w:ascii="Arial" w:hAnsi="Arial" w:cs="Arial"/>
          <w:lang w:val="it-CH"/>
        </w:rPr>
        <w:lastRenderedPageBreak/>
        <w:t>Proc</w:t>
      </w:r>
      <w:r w:rsidR="001A793E" w:rsidRPr="00090F4B">
        <w:rPr>
          <w:rFonts w:ascii="Arial" w:hAnsi="Arial" w:cs="Arial"/>
          <w:lang w:val="it-CH"/>
        </w:rPr>
        <w:t>e</w:t>
      </w:r>
      <w:r w:rsidRPr="00090F4B">
        <w:rPr>
          <w:rFonts w:ascii="Arial" w:hAnsi="Arial" w:cs="Arial"/>
          <w:lang w:val="it-CH"/>
        </w:rPr>
        <w:t>dur</w:t>
      </w:r>
      <w:r w:rsidR="001A793E" w:rsidRPr="00090F4B">
        <w:rPr>
          <w:rFonts w:ascii="Arial" w:hAnsi="Arial" w:cs="Arial"/>
          <w:lang w:val="it-CH"/>
        </w:rPr>
        <w:t>a</w:t>
      </w:r>
      <w:r w:rsidRPr="00090F4B">
        <w:rPr>
          <w:rFonts w:ascii="Arial" w:hAnsi="Arial" w:cs="Arial"/>
          <w:lang w:val="it-CH"/>
        </w:rPr>
        <w:t xml:space="preserve"> p</w:t>
      </w:r>
      <w:r w:rsidR="001A793E" w:rsidRPr="00090F4B">
        <w:rPr>
          <w:rFonts w:ascii="Arial" w:hAnsi="Arial" w:cs="Arial"/>
          <w:lang w:val="it-CH"/>
        </w:rPr>
        <w:t>e</w:t>
      </w:r>
      <w:r w:rsidRPr="00090F4B">
        <w:rPr>
          <w:rFonts w:ascii="Arial" w:hAnsi="Arial" w:cs="Arial"/>
          <w:lang w:val="it-CH"/>
        </w:rPr>
        <w:t>nale militare</w:t>
      </w:r>
      <w:bookmarkEnd w:id="8"/>
      <w:bookmarkEnd w:id="9"/>
    </w:p>
    <w:p w14:paraId="66348364" w14:textId="77777777" w:rsidR="00B97A57" w:rsidRPr="00090F4B" w:rsidRDefault="00B97A57" w:rsidP="00B97A57">
      <w:pPr>
        <w:rPr>
          <w:lang w:val="it-CH"/>
        </w:rPr>
      </w:pPr>
    </w:p>
    <w:p w14:paraId="2BDD751F" w14:textId="7DCB37C2" w:rsidR="005854EB" w:rsidRPr="00090F4B" w:rsidRDefault="001A793E" w:rsidP="0006153E">
      <w:pPr>
        <w:pStyle w:val="Titel2"/>
        <w:rPr>
          <w:rFonts w:ascii="Arial" w:hAnsi="Arial" w:cs="Arial"/>
          <w:lang w:val="it-CH"/>
        </w:rPr>
      </w:pPr>
      <w:bookmarkStart w:id="10" w:name="_Toc191470071"/>
      <w:bookmarkStart w:id="11" w:name="_Toc195801094"/>
      <w:r w:rsidRPr="00090F4B">
        <w:rPr>
          <w:rFonts w:ascii="Arial" w:hAnsi="Arial" w:cs="Arial"/>
          <w:lang w:val="it-CH"/>
        </w:rPr>
        <w:t xml:space="preserve">Modifiche </w:t>
      </w:r>
      <w:r w:rsidR="0006153E" w:rsidRPr="00090F4B">
        <w:rPr>
          <w:rFonts w:ascii="Arial" w:hAnsi="Arial" w:cs="Arial"/>
          <w:lang w:val="it-CH"/>
        </w:rPr>
        <w:t>del</w:t>
      </w:r>
      <w:r w:rsidRPr="00090F4B">
        <w:rPr>
          <w:rFonts w:ascii="Arial" w:hAnsi="Arial" w:cs="Arial"/>
          <w:lang w:val="it-CH"/>
        </w:rPr>
        <w:t xml:space="preserve"> 1</w:t>
      </w:r>
      <w:r w:rsidR="0006153E" w:rsidRPr="00090F4B">
        <w:rPr>
          <w:rFonts w:ascii="Arial" w:hAnsi="Arial" w:cs="Arial"/>
          <w:lang w:val="it-CH"/>
        </w:rPr>
        <w:t>°</w:t>
      </w:r>
      <w:r w:rsidRPr="00090F4B">
        <w:rPr>
          <w:rFonts w:ascii="Arial" w:hAnsi="Arial" w:cs="Arial"/>
          <w:lang w:val="it-CH"/>
        </w:rPr>
        <w:t xml:space="preserve"> gennaio 2025 con la </w:t>
      </w:r>
      <w:r w:rsidR="005854EB" w:rsidRPr="00090F4B">
        <w:rPr>
          <w:rFonts w:ascii="Arial" w:hAnsi="Arial" w:cs="Arial"/>
          <w:lang w:val="it-CH"/>
        </w:rPr>
        <w:t>modific</w:t>
      </w:r>
      <w:r w:rsidRPr="00090F4B">
        <w:rPr>
          <w:rFonts w:ascii="Arial" w:hAnsi="Arial" w:cs="Arial"/>
          <w:lang w:val="it-CH"/>
        </w:rPr>
        <w:t>a del</w:t>
      </w:r>
      <w:r w:rsidR="005854EB" w:rsidRPr="00090F4B">
        <w:rPr>
          <w:rFonts w:ascii="Arial" w:hAnsi="Arial" w:cs="Arial"/>
          <w:lang w:val="it-CH"/>
        </w:rPr>
        <w:t xml:space="preserve"> CPP</w:t>
      </w:r>
      <w:bookmarkStart w:id="12" w:name="_Toc163474494"/>
      <w:bookmarkEnd w:id="10"/>
      <w:bookmarkEnd w:id="11"/>
    </w:p>
    <w:bookmarkEnd w:id="12"/>
    <w:p w14:paraId="4C8AA887" w14:textId="77777777" w:rsidR="005854EB" w:rsidRPr="00090F4B" w:rsidRDefault="005854EB">
      <w:pPr>
        <w:rPr>
          <w:rFonts w:ascii="Arial" w:hAnsi="Arial" w:cs="Arial"/>
          <w:lang w:val="it-CH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B8577A" w:rsidRPr="00090F4B" w14:paraId="2FC06046" w14:textId="77777777" w:rsidTr="005854EB">
        <w:tc>
          <w:tcPr>
            <w:tcW w:w="3969" w:type="dxa"/>
          </w:tcPr>
          <w:p w14:paraId="59FC3E09" w14:textId="5672C556" w:rsidR="00D64668" w:rsidRPr="00090F4B" w:rsidRDefault="001B5820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>Artic</w:t>
            </w:r>
            <w:r w:rsidR="001A793E" w:rsidRPr="00090F4B">
              <w:rPr>
                <w:rFonts w:ascii="Arial" w:hAnsi="Arial" w:cs="Arial"/>
                <w:b/>
                <w:bCs/>
                <w:lang w:val="it-CH"/>
              </w:rPr>
              <w:t>olo</w:t>
            </w:r>
          </w:p>
        </w:tc>
        <w:tc>
          <w:tcPr>
            <w:tcW w:w="5245" w:type="dxa"/>
          </w:tcPr>
          <w:p w14:paraId="3CE4C758" w14:textId="01BF36FE" w:rsidR="00D64668" w:rsidRPr="00090F4B" w:rsidRDefault="001B5820" w:rsidP="00B97A57">
            <w:pPr>
              <w:tabs>
                <w:tab w:val="left" w:pos="284"/>
              </w:tabs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>Modifica</w:t>
            </w:r>
          </w:p>
        </w:tc>
      </w:tr>
      <w:tr w:rsidR="0027583E" w:rsidRPr="00090F4B" w14:paraId="4CF495A6" w14:textId="77777777" w:rsidTr="005854EB">
        <w:trPr>
          <w:trHeight w:val="1398"/>
        </w:trPr>
        <w:tc>
          <w:tcPr>
            <w:tcW w:w="3969" w:type="dxa"/>
          </w:tcPr>
          <w:p w14:paraId="1101E6E7" w14:textId="690A427E" w:rsidR="00B4039D" w:rsidRPr="00090F4B" w:rsidRDefault="001B5820" w:rsidP="00A05292">
            <w:pPr>
              <w:spacing w:line="240" w:lineRule="auto"/>
              <w:rPr>
                <w:rFonts w:ascii="Arial" w:hAnsi="Arial" w:cs="Arial"/>
                <w:sz w:val="24"/>
                <w:szCs w:val="24"/>
                <w:lang w:val="it-CH" w:eastAsia="de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Art. </w:t>
            </w:r>
            <w:r w:rsidR="004B68E8" w:rsidRPr="00090F4B">
              <w:rPr>
                <w:rFonts w:ascii="Arial" w:hAnsi="Arial" w:cs="Arial"/>
                <w:b/>
                <w:bCs/>
                <w:lang w:val="it-CH"/>
              </w:rPr>
              <w:t xml:space="preserve">73s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cpv.</w:t>
            </w:r>
            <w:r w:rsidR="004B68E8" w:rsidRPr="00090F4B">
              <w:rPr>
                <w:rFonts w:ascii="Arial" w:hAnsi="Arial" w:cs="Arial"/>
                <w:b/>
                <w:bCs/>
                <w:lang w:val="it-CH"/>
              </w:rPr>
              <w:t xml:space="preserve"> 1 et 1bis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 </w:t>
            </w:r>
            <w:r w:rsidR="00C20CE1" w:rsidRPr="00090F4B">
              <w:rPr>
                <w:rFonts w:ascii="Arial" w:hAnsi="Arial" w:cs="Arial"/>
                <w:b/>
                <w:bCs/>
                <w:lang w:val="it-CH"/>
              </w:rPr>
              <w:t>PPM</w:t>
            </w:r>
          </w:p>
          <w:p w14:paraId="0BFA3FAD" w14:textId="750F6D69" w:rsidR="00D64668" w:rsidRPr="00090F4B" w:rsidRDefault="00624D26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Profilo del DNA. Condizioni in generale</w:t>
            </w:r>
          </w:p>
        </w:tc>
        <w:tc>
          <w:tcPr>
            <w:tcW w:w="5245" w:type="dxa"/>
          </w:tcPr>
          <w:p w14:paraId="54774655" w14:textId="6066F3B3" w:rsidR="004B68E8" w:rsidRPr="00090F4B" w:rsidRDefault="00624D26" w:rsidP="00B97A57">
            <w:pPr>
              <w:pStyle w:val="Listenabsatz"/>
              <w:numPr>
                <w:ilvl w:val="4"/>
                <w:numId w:val="36"/>
              </w:num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Per far luce su un crimine o su un delitto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oggetto del procedimento</w:t>
            </w:r>
            <w:r w:rsidRPr="00090F4B">
              <w:rPr>
                <w:rFonts w:ascii="Arial" w:hAnsi="Arial" w:cs="Arial"/>
                <w:lang w:val="it-CH"/>
              </w:rPr>
              <w:t xml:space="preserve"> è possibile prelevare un campione e allestire un profilo del DNA da</w:t>
            </w:r>
            <w:r w:rsidR="004B68E8" w:rsidRPr="00090F4B">
              <w:rPr>
                <w:rFonts w:ascii="Arial" w:hAnsi="Arial" w:cs="Arial"/>
                <w:lang w:val="it-CH"/>
              </w:rPr>
              <w:t>:</w:t>
            </w:r>
          </w:p>
          <w:p w14:paraId="68A00BC5" w14:textId="77777777" w:rsidR="00624D26" w:rsidRPr="00090F4B" w:rsidRDefault="00624D26" w:rsidP="00B97A57">
            <w:pPr>
              <w:pStyle w:val="Listenabsatz"/>
              <w:tabs>
                <w:tab w:val="left" w:pos="284"/>
              </w:tabs>
              <w:spacing w:after="0"/>
              <w:ind w:left="567"/>
              <w:jc w:val="both"/>
              <w:rPr>
                <w:rFonts w:ascii="Arial" w:hAnsi="Arial" w:cs="Arial"/>
                <w:b/>
                <w:bCs/>
                <w:lang w:val="it-CH"/>
              </w:rPr>
            </w:pPr>
          </w:p>
          <w:p w14:paraId="384DC642" w14:textId="24484B85" w:rsidR="00624D26" w:rsidRPr="00090F4B" w:rsidRDefault="00624D26" w:rsidP="00B97A57">
            <w:pPr>
              <w:pStyle w:val="Listenabsatz"/>
              <w:numPr>
                <w:ilvl w:val="0"/>
                <w:numId w:val="37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>…</w:t>
            </w:r>
          </w:p>
          <w:p w14:paraId="46E588CC" w14:textId="77777777" w:rsidR="004B68E8" w:rsidRPr="00090F4B" w:rsidRDefault="004B68E8" w:rsidP="00B97A57">
            <w:pPr>
              <w:pStyle w:val="Listenabsatz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lang w:val="it-CH"/>
              </w:rPr>
            </w:pPr>
          </w:p>
          <w:p w14:paraId="5DF9A324" w14:textId="693DCE58" w:rsidR="00D33085" w:rsidRPr="00090F4B" w:rsidRDefault="004B68E8" w:rsidP="00B97A57">
            <w:pPr>
              <w:pStyle w:val="Listenabsatz"/>
              <w:tabs>
                <w:tab w:val="left" w:pos="284"/>
              </w:tabs>
              <w:spacing w:after="120"/>
              <w:ind w:left="0"/>
              <w:jc w:val="both"/>
              <w:rPr>
                <w:rFonts w:ascii="Arial" w:hAnsi="Arial" w:cs="Arial"/>
                <w:b/>
                <w:bCs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color w:val="FF0000"/>
                <w:lang w:val="it-CH"/>
              </w:rPr>
              <w:t xml:space="preserve">1bis </w:t>
            </w:r>
            <w:r w:rsidR="00D33085" w:rsidRPr="00090F4B">
              <w:rPr>
                <w:rFonts w:ascii="Arial" w:hAnsi="Arial" w:cs="Arial"/>
                <w:color w:val="FF0000"/>
                <w:lang w:val="it-CH"/>
              </w:rPr>
              <w:t xml:space="preserve">   </w:t>
            </w:r>
            <w:r w:rsidR="00624D26" w:rsidRPr="00090F4B">
              <w:rPr>
                <w:rFonts w:ascii="Arial" w:hAnsi="Arial" w:cs="Arial"/>
                <w:color w:val="FF0000"/>
                <w:lang w:val="it-CH"/>
              </w:rPr>
              <w:t>È inoltre possibile prelevare un campione e allestire un profilo del DNA dell’imputato se in base a indizi concreti si può ritenere che possa aver commesso ulteriori crimini o delitti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.</w:t>
            </w:r>
          </w:p>
        </w:tc>
      </w:tr>
      <w:tr w:rsidR="00B8577A" w:rsidRPr="00090F4B" w14:paraId="0C08DC80" w14:textId="77777777" w:rsidTr="005854EB">
        <w:tc>
          <w:tcPr>
            <w:tcW w:w="3969" w:type="dxa"/>
          </w:tcPr>
          <w:p w14:paraId="5E1DE34F" w14:textId="2FA57FA9" w:rsidR="00D64668" w:rsidRPr="00090F4B" w:rsidRDefault="001B5820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Art. </w:t>
            </w:r>
            <w:r w:rsidR="003878F3" w:rsidRPr="00090F4B">
              <w:rPr>
                <w:rFonts w:ascii="Arial" w:hAnsi="Arial" w:cs="Arial"/>
                <w:b/>
                <w:bCs/>
                <w:lang w:val="it-CH"/>
              </w:rPr>
              <w:t>73</w:t>
            </w:r>
            <w:r w:rsidR="00072121" w:rsidRPr="00090F4B">
              <w:rPr>
                <w:rFonts w:ascii="Arial" w:hAnsi="Arial" w:cs="Arial"/>
                <w:b/>
                <w:bCs/>
                <w:lang w:val="it-CH"/>
              </w:rPr>
              <w:t xml:space="preserve">u </w:t>
            </w:r>
            <w:r w:rsidR="003878F3" w:rsidRPr="00090F4B">
              <w:rPr>
                <w:rFonts w:ascii="Arial" w:hAnsi="Arial" w:cs="Arial"/>
                <w:b/>
                <w:bCs/>
                <w:lang w:val="it-CH"/>
              </w:rPr>
              <w:t>PPM</w:t>
            </w:r>
          </w:p>
          <w:p w14:paraId="3BA63E04" w14:textId="046B52CB" w:rsidR="00D64668" w:rsidRPr="00090F4B" w:rsidRDefault="00624D26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Profilo del DNA di condannati</w:t>
            </w:r>
          </w:p>
        </w:tc>
        <w:tc>
          <w:tcPr>
            <w:tcW w:w="5245" w:type="dxa"/>
          </w:tcPr>
          <w:p w14:paraId="325F45E3" w14:textId="66B35BC6" w:rsidR="00D64668" w:rsidRPr="00090F4B" w:rsidRDefault="00624D26" w:rsidP="00B97A57">
            <w:pPr>
              <w:tabs>
                <w:tab w:val="left" w:pos="284"/>
              </w:tabs>
              <w:spacing w:after="120"/>
              <w:rPr>
                <w:rFonts w:ascii="Arial" w:hAnsi="Arial" w:cs="Arial"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Nella sentenza il giudice può disporre il prelievo di un campione e l’allestimento di un profilo del DNA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di una persona condannata per un crimine o un delitto, se in base a indizi concreti si può ritenere che il condannato possa compiere ulteriori crimini e delitti</w:t>
            </w:r>
            <w:r w:rsidR="00072121" w:rsidRPr="00090F4B">
              <w:rPr>
                <w:rFonts w:ascii="Arial" w:hAnsi="Arial" w:cs="Arial"/>
                <w:color w:val="FF0000"/>
                <w:lang w:val="it-CH"/>
              </w:rPr>
              <w:t>.</w:t>
            </w:r>
          </w:p>
        </w:tc>
      </w:tr>
    </w:tbl>
    <w:p w14:paraId="50C68DE0" w14:textId="6C3DA45D" w:rsidR="005854EB" w:rsidRPr="00090F4B" w:rsidRDefault="005854EB">
      <w:pPr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br w:type="page"/>
      </w:r>
    </w:p>
    <w:p w14:paraId="13D76366" w14:textId="59D0848E" w:rsidR="005854EB" w:rsidRPr="00090F4B" w:rsidRDefault="00624D26" w:rsidP="0006153E">
      <w:pPr>
        <w:pStyle w:val="Titel2"/>
        <w:rPr>
          <w:rFonts w:ascii="Arial" w:hAnsi="Arial" w:cs="Arial"/>
          <w:lang w:val="it-CH"/>
        </w:rPr>
      </w:pPr>
      <w:bookmarkStart w:id="13" w:name="_Toc191470072"/>
      <w:bookmarkStart w:id="14" w:name="_Toc195801095"/>
      <w:r w:rsidRPr="00090F4B">
        <w:rPr>
          <w:rFonts w:ascii="Arial" w:hAnsi="Arial" w:cs="Arial"/>
          <w:lang w:val="it-CH"/>
        </w:rPr>
        <w:lastRenderedPageBreak/>
        <w:t xml:space="preserve">Modifiche </w:t>
      </w:r>
      <w:r w:rsidR="0006153E" w:rsidRPr="00090F4B">
        <w:rPr>
          <w:rFonts w:ascii="Arial" w:hAnsi="Arial" w:cs="Arial"/>
          <w:lang w:val="it-CH"/>
        </w:rPr>
        <w:t>del</w:t>
      </w:r>
      <w:r w:rsidRPr="00090F4B">
        <w:rPr>
          <w:rFonts w:ascii="Arial" w:hAnsi="Arial" w:cs="Arial"/>
          <w:lang w:val="it-CH"/>
        </w:rPr>
        <w:t xml:space="preserve"> 1</w:t>
      </w:r>
      <w:r w:rsidR="0006153E" w:rsidRPr="00090F4B">
        <w:rPr>
          <w:rFonts w:ascii="Arial" w:hAnsi="Arial" w:cs="Arial"/>
          <w:lang w:val="it-CH"/>
        </w:rPr>
        <w:t>°</w:t>
      </w:r>
      <w:r w:rsidRPr="00090F4B">
        <w:rPr>
          <w:rFonts w:ascii="Arial" w:hAnsi="Arial" w:cs="Arial"/>
          <w:lang w:val="it-CH"/>
        </w:rPr>
        <w:t xml:space="preserve"> luglio 2025 sulla base della legge federale sulla revisione del diritto penale in materia sessuale</w:t>
      </w:r>
      <w:bookmarkEnd w:id="13"/>
      <w:bookmarkEnd w:id="14"/>
      <w:r w:rsidRPr="00090F4B">
        <w:rPr>
          <w:rFonts w:ascii="Arial" w:hAnsi="Arial" w:cs="Arial"/>
          <w:lang w:val="it-CH"/>
        </w:rPr>
        <w:t xml:space="preserve"> </w:t>
      </w:r>
    </w:p>
    <w:p w14:paraId="304351C0" w14:textId="77777777" w:rsidR="00624D26" w:rsidRPr="00090F4B" w:rsidRDefault="00624D26" w:rsidP="00624D26">
      <w:pPr>
        <w:rPr>
          <w:rFonts w:ascii="Arial" w:hAnsi="Arial" w:cs="Arial"/>
          <w:lang w:val="it-CH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B8577A" w:rsidRPr="00090F4B" w14:paraId="252934FA" w14:textId="77777777" w:rsidTr="005854EB">
        <w:tc>
          <w:tcPr>
            <w:tcW w:w="3969" w:type="dxa"/>
          </w:tcPr>
          <w:p w14:paraId="53AD348F" w14:textId="789652C7" w:rsidR="00D64668" w:rsidRPr="00090F4B" w:rsidRDefault="001B5820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Art. </w:t>
            </w:r>
            <w:r w:rsidR="002521DE" w:rsidRPr="00090F4B">
              <w:rPr>
                <w:rFonts w:ascii="Arial" w:hAnsi="Arial" w:cs="Arial"/>
                <w:b/>
                <w:bCs/>
                <w:lang w:val="it-CH"/>
              </w:rPr>
              <w:t>7</w:t>
            </w:r>
            <w:r w:rsidR="00072121" w:rsidRPr="00090F4B">
              <w:rPr>
                <w:rFonts w:ascii="Arial" w:hAnsi="Arial" w:cs="Arial"/>
                <w:b/>
                <w:bCs/>
                <w:lang w:val="it-CH"/>
              </w:rPr>
              <w:t xml:space="preserve">0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cpv.</w:t>
            </w:r>
            <w:r w:rsidR="00072121" w:rsidRPr="00090F4B">
              <w:rPr>
                <w:rFonts w:ascii="Arial" w:hAnsi="Arial" w:cs="Arial"/>
                <w:b/>
                <w:bCs/>
                <w:lang w:val="it-CH"/>
              </w:rPr>
              <w:t xml:space="preserve"> 2</w:t>
            </w:r>
            <w:r w:rsidR="002521DE" w:rsidRPr="00090F4B">
              <w:rPr>
                <w:rFonts w:ascii="Arial" w:hAnsi="Arial" w:cs="Arial"/>
                <w:b/>
                <w:bCs/>
                <w:lang w:val="it-CH"/>
              </w:rPr>
              <w:t xml:space="preserve"> 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>PPM</w:t>
            </w:r>
          </w:p>
          <w:p w14:paraId="36C6353B" w14:textId="504C5842" w:rsidR="00D64668" w:rsidRPr="00090F4B" w:rsidRDefault="00624D26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Sorveglianza della corrispondenza postale e del traffico delle telecomunicazioni</w:t>
            </w:r>
          </w:p>
        </w:tc>
        <w:tc>
          <w:tcPr>
            <w:tcW w:w="5245" w:type="dxa"/>
          </w:tcPr>
          <w:p w14:paraId="694F602B" w14:textId="61E6E3FF" w:rsidR="00D64668" w:rsidRPr="00090F4B" w:rsidRDefault="00624D26" w:rsidP="00B97A57">
            <w:pPr>
              <w:pStyle w:val="Listenabsatz"/>
              <w:numPr>
                <w:ilvl w:val="0"/>
                <w:numId w:val="24"/>
              </w:numPr>
              <w:tabs>
                <w:tab w:val="left" w:pos="284"/>
              </w:tabs>
              <w:spacing w:after="120"/>
              <w:ind w:left="0" w:firstLine="0"/>
              <w:rPr>
                <w:rFonts w:ascii="Arial" w:hAnsi="Arial" w:cs="Arial"/>
                <w:color w:val="FF0000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La sorveglianza può essere disposta per perseguire i reati di cui alle seguenti disposizioni del CPM: articoli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62 capoversi 1 e 3, 63 numero 1 primo e terzo comma e numero 2, 64 numero 1 primo comma e numero 2, 74,</w:t>
            </w:r>
            <w:r w:rsidRPr="00090F4B">
              <w:rPr>
                <w:rFonts w:ascii="Arial" w:hAnsi="Arial" w:cs="Arial"/>
                <w:lang w:val="it-CH"/>
              </w:rPr>
              <w:t xml:space="preserve"> 86, 86a,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 xml:space="preserve">87, 89 capoverso 1, 91, 93 numero 2, 102, </w:t>
            </w:r>
            <w:r w:rsidRPr="00090F4B">
              <w:rPr>
                <w:rFonts w:ascii="Arial" w:hAnsi="Arial" w:cs="Arial"/>
                <w:strike/>
                <w:color w:val="FF0000"/>
                <w:lang w:val="it-CH"/>
              </w:rPr>
              <w:t>103 numero 1,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 xml:space="preserve"> 104 capoverso 2, 105,</w:t>
            </w:r>
            <w:r w:rsidRPr="00090F4B">
              <w:rPr>
                <w:rFonts w:ascii="Arial" w:hAnsi="Arial" w:cs="Arial"/>
                <w:lang w:val="it-CH"/>
              </w:rPr>
              <w:t xml:space="preserve"> 106 capoversi 1 e 2, 108–114a,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115–117,</w:t>
            </w:r>
            <w:r w:rsidRPr="00090F4B">
              <w:rPr>
                <w:rFonts w:ascii="Arial" w:hAnsi="Arial" w:cs="Arial"/>
                <w:lang w:val="it-CH"/>
              </w:rPr>
              <w:t xml:space="preserve"> 121,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130 numeri 1 e 2, 131 numeri 1–4, 132,</w:t>
            </w:r>
            <w:r w:rsidRPr="00090F4B">
              <w:rPr>
                <w:rFonts w:ascii="Arial" w:hAnsi="Arial" w:cs="Arial"/>
                <w:lang w:val="it-CH"/>
              </w:rPr>
              <w:t xml:space="preserve"> 134 capoverso 3, 135 capoversi 1 e 4, 137a, 137b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numero 1 primo comma e numero 2, 139,</w:t>
            </w:r>
            <w:r w:rsidRPr="00090F4B">
              <w:rPr>
                <w:rFonts w:ascii="Arial" w:hAnsi="Arial" w:cs="Arial"/>
                <w:lang w:val="it-CH"/>
              </w:rPr>
              <w:t xml:space="preserve"> 141, 142,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144 capoverso 2, 149 capoverso 1, 150 capoverso 1,</w:t>
            </w:r>
            <w:r w:rsidRPr="00090F4B">
              <w:rPr>
                <w:rFonts w:ascii="Arial" w:hAnsi="Arial" w:cs="Arial"/>
                <w:lang w:val="it-CH"/>
              </w:rPr>
              <w:t xml:space="preserve"> 151a–151d,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 xml:space="preserve">153–155, 156–158, </w:t>
            </w:r>
            <w:r w:rsidRPr="00090F4B">
              <w:rPr>
                <w:rFonts w:ascii="Arial" w:hAnsi="Arial" w:cs="Arial"/>
                <w:lang w:val="it-CH"/>
              </w:rPr>
              <w:t xml:space="preserve">160 capoversi 1 e 2, 161 numero 1, 162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capoversi 1 e 3, 164, 165 numero 1 primo e terzo comma, 166 numero 1 dal primo al quarto comma, 167, 168 numero 1, 169 capoverso 1,</w:t>
            </w:r>
            <w:r w:rsidRPr="00090F4B">
              <w:rPr>
                <w:rFonts w:ascii="Arial" w:hAnsi="Arial" w:cs="Arial"/>
                <w:lang w:val="it-CH"/>
              </w:rPr>
              <w:t xml:space="preserve"> 169a numero 1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 xml:space="preserve"> primo comma e numero 2, 171a capoverso 1,</w:t>
            </w:r>
            <w:r w:rsidRPr="00090F4B">
              <w:rPr>
                <w:rFonts w:ascii="Arial" w:hAnsi="Arial" w:cs="Arial"/>
                <w:lang w:val="it-CH"/>
              </w:rPr>
              <w:t xml:space="preserve"> 171b,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 xml:space="preserve">171c capoverso 1, </w:t>
            </w:r>
            <w:r w:rsidRPr="00090F4B">
              <w:rPr>
                <w:rFonts w:ascii="Arial" w:hAnsi="Arial" w:cs="Arial"/>
                <w:lang w:val="it-CH"/>
              </w:rPr>
              <w:t xml:space="preserve">172 numero 1,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176 capoversi 1 e 1bis,</w:t>
            </w:r>
            <w:r w:rsidRPr="00090F4B">
              <w:rPr>
                <w:rFonts w:ascii="Arial" w:hAnsi="Arial" w:cs="Arial"/>
                <w:lang w:val="it-CH"/>
              </w:rPr>
              <w:t xml:space="preserve"> 177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e 178 numero 1</w:t>
            </w:r>
            <w:r w:rsidR="00072121" w:rsidRPr="00090F4B">
              <w:rPr>
                <w:rFonts w:ascii="Arial" w:hAnsi="Arial" w:cs="Arial"/>
                <w:lang w:val="it-CH"/>
              </w:rPr>
              <w:t>.</w:t>
            </w:r>
          </w:p>
        </w:tc>
      </w:tr>
      <w:tr w:rsidR="00B8577A" w:rsidRPr="00090F4B" w14:paraId="0AF81BE6" w14:textId="77777777" w:rsidTr="005854EB">
        <w:tc>
          <w:tcPr>
            <w:tcW w:w="3969" w:type="dxa"/>
          </w:tcPr>
          <w:p w14:paraId="38E22F1E" w14:textId="296DBCDA" w:rsidR="00D64668" w:rsidRPr="00090F4B" w:rsidRDefault="001B5820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>Art. 73</w:t>
            </w:r>
            <w:r w:rsidR="00B4039D" w:rsidRPr="00090F4B">
              <w:rPr>
                <w:rFonts w:ascii="Arial" w:hAnsi="Arial" w:cs="Arial"/>
                <w:b/>
                <w:bCs/>
                <w:lang w:val="it-CH"/>
              </w:rPr>
              <w:t xml:space="preserve">a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cpv.</w:t>
            </w:r>
            <w:r w:rsidR="00B4039D" w:rsidRPr="00090F4B">
              <w:rPr>
                <w:rFonts w:ascii="Arial" w:hAnsi="Arial" w:cs="Arial"/>
                <w:b/>
                <w:bCs/>
                <w:lang w:val="it-CH"/>
              </w:rPr>
              <w:t xml:space="preserve"> 1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lett.</w:t>
            </w:r>
            <w:r w:rsidR="00B4039D" w:rsidRPr="00090F4B">
              <w:rPr>
                <w:rFonts w:ascii="Arial" w:hAnsi="Arial" w:cs="Arial"/>
                <w:b/>
                <w:bCs/>
                <w:lang w:val="it-CH"/>
              </w:rPr>
              <w:t xml:space="preserve"> a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 PPM</w:t>
            </w:r>
          </w:p>
          <w:p w14:paraId="583652A3" w14:textId="5B106D68" w:rsidR="00D64668" w:rsidRPr="00090F4B" w:rsidRDefault="00624D26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Inchiesta mascherata, Condizioni</w:t>
            </w:r>
          </w:p>
        </w:tc>
        <w:tc>
          <w:tcPr>
            <w:tcW w:w="5245" w:type="dxa"/>
          </w:tcPr>
          <w:p w14:paraId="3AFC5535" w14:textId="5F48094A" w:rsidR="00B4039D" w:rsidRPr="00090F4B" w:rsidRDefault="00624D26" w:rsidP="00B97A57">
            <w:pPr>
              <w:pStyle w:val="Listenabsatz"/>
              <w:numPr>
                <w:ilvl w:val="0"/>
                <w:numId w:val="25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Il giudice istruttore può disporre un’inchiesta mascherata se</w:t>
            </w:r>
            <w:r w:rsidR="00B4039D" w:rsidRPr="00090F4B">
              <w:rPr>
                <w:rFonts w:ascii="Arial" w:hAnsi="Arial" w:cs="Arial"/>
                <w:lang w:val="it-CH"/>
              </w:rPr>
              <w:t>:</w:t>
            </w:r>
          </w:p>
          <w:p w14:paraId="617D379C" w14:textId="77777777" w:rsidR="00D33085" w:rsidRPr="00090F4B" w:rsidRDefault="00D33085" w:rsidP="00B97A57">
            <w:pPr>
              <w:pStyle w:val="Listenabsatz"/>
              <w:tabs>
                <w:tab w:val="left" w:pos="284"/>
              </w:tabs>
              <w:spacing w:after="0"/>
              <w:ind w:left="0"/>
              <w:jc w:val="both"/>
              <w:rPr>
                <w:rFonts w:ascii="Arial" w:hAnsi="Arial" w:cs="Arial"/>
                <w:lang w:val="it-CH"/>
              </w:rPr>
            </w:pPr>
          </w:p>
          <w:p w14:paraId="370D0EA8" w14:textId="4C1429FE" w:rsidR="00D64668" w:rsidRPr="00090F4B" w:rsidRDefault="00624D26" w:rsidP="00B97A57">
            <w:pPr>
              <w:pStyle w:val="Listenabsatz"/>
              <w:numPr>
                <w:ilvl w:val="0"/>
                <w:numId w:val="23"/>
              </w:numPr>
              <w:tabs>
                <w:tab w:val="left" w:pos="284"/>
              </w:tabs>
              <w:spacing w:after="120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sussiste il sospetto che sia stato commesso un reato di cui ai seguenti articoli del CPM: articoli 86, 86a, 87, 89 capoverso 1, 91, 93 numero 2, 102, 106 capoversi 1 e 2, 108–114a, 115–117, 121, 130, 131 numeri 1–4, 132, 134 capoverso 3, 135 capoversi 1 e 4, 137a, 137b, 141, 142, 151a–151d, 153–155, 156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–158</w:t>
            </w:r>
            <w:r w:rsidRPr="00090F4B">
              <w:rPr>
                <w:rFonts w:ascii="Arial" w:hAnsi="Arial" w:cs="Arial"/>
                <w:lang w:val="it-CH"/>
              </w:rPr>
              <w:t>, 160 capoversi 1 e 2, 161 numero 1, 162 capoversi 1 e 3, 165 numero 1 primo e terzo comma, 166 numero 1 dal primo al quarto comma, 167, 168 numero 1, 169 capoverso 1, 169a numeri 1 e 2, 171b, 172 numero 1 e 177</w:t>
            </w:r>
            <w:r w:rsidR="00B4039D" w:rsidRPr="00090F4B">
              <w:rPr>
                <w:rFonts w:ascii="Arial" w:hAnsi="Arial" w:cs="Arial"/>
                <w:lang w:val="it-CH"/>
              </w:rPr>
              <w:t>;</w:t>
            </w:r>
          </w:p>
        </w:tc>
      </w:tr>
    </w:tbl>
    <w:p w14:paraId="23884488" w14:textId="3DB9DB51" w:rsidR="005854EB" w:rsidRPr="00090F4B" w:rsidRDefault="005854EB">
      <w:pPr>
        <w:rPr>
          <w:rFonts w:ascii="Arial" w:hAnsi="Arial" w:cs="Arial"/>
          <w:lang w:val="it-CH"/>
        </w:rPr>
      </w:pPr>
      <w:r w:rsidRPr="00090F4B">
        <w:rPr>
          <w:rFonts w:ascii="Arial" w:hAnsi="Arial" w:cs="Arial"/>
          <w:lang w:val="it-CH"/>
        </w:rPr>
        <w:br w:type="page"/>
      </w:r>
    </w:p>
    <w:p w14:paraId="3849E16C" w14:textId="796F69F3" w:rsidR="005854EB" w:rsidRPr="00090F4B" w:rsidRDefault="006409B9" w:rsidP="0006153E">
      <w:pPr>
        <w:pStyle w:val="Titel2"/>
        <w:rPr>
          <w:rFonts w:ascii="Arial" w:hAnsi="Arial" w:cs="Arial"/>
          <w:lang w:val="it-CH"/>
        </w:rPr>
      </w:pPr>
      <w:bookmarkStart w:id="15" w:name="_Toc191470073"/>
      <w:bookmarkStart w:id="16" w:name="_Toc195801096"/>
      <w:r w:rsidRPr="00090F4B">
        <w:rPr>
          <w:rFonts w:ascii="Arial" w:hAnsi="Arial" w:cs="Arial"/>
          <w:lang w:val="it-CH"/>
        </w:rPr>
        <w:lastRenderedPageBreak/>
        <w:t>Modifica</w:t>
      </w:r>
      <w:r w:rsidR="00624D26" w:rsidRPr="00090F4B">
        <w:rPr>
          <w:rFonts w:ascii="Arial" w:hAnsi="Arial" w:cs="Arial"/>
          <w:lang w:val="it-CH"/>
        </w:rPr>
        <w:t xml:space="preserve"> </w:t>
      </w:r>
      <w:r w:rsidR="0006153E" w:rsidRPr="00090F4B">
        <w:rPr>
          <w:rFonts w:ascii="Arial" w:hAnsi="Arial" w:cs="Arial"/>
          <w:lang w:val="it-CH"/>
        </w:rPr>
        <w:t>del</w:t>
      </w:r>
      <w:r w:rsidR="00624D26" w:rsidRPr="00090F4B">
        <w:rPr>
          <w:rFonts w:ascii="Arial" w:hAnsi="Arial" w:cs="Arial"/>
          <w:lang w:val="it-CH"/>
        </w:rPr>
        <w:t xml:space="preserve"> 1</w:t>
      </w:r>
      <w:r w:rsidR="0006153E" w:rsidRPr="00090F4B">
        <w:rPr>
          <w:rFonts w:ascii="Arial" w:hAnsi="Arial" w:cs="Arial"/>
          <w:lang w:val="it-CH"/>
        </w:rPr>
        <w:t>°</w:t>
      </w:r>
      <w:r w:rsidR="00624D26" w:rsidRPr="00090F4B">
        <w:rPr>
          <w:rFonts w:ascii="Arial" w:hAnsi="Arial" w:cs="Arial"/>
          <w:lang w:val="it-CH"/>
        </w:rPr>
        <w:t xml:space="preserve"> luglio 2025 sulla base della legge federale sulla promozione della formazione in cure infermieristiche</w:t>
      </w:r>
      <w:bookmarkEnd w:id="15"/>
      <w:bookmarkEnd w:id="16"/>
    </w:p>
    <w:p w14:paraId="1E1F77F6" w14:textId="77777777" w:rsidR="005854EB" w:rsidRPr="00090F4B" w:rsidRDefault="005854EB">
      <w:pPr>
        <w:rPr>
          <w:rFonts w:ascii="Arial" w:hAnsi="Arial" w:cs="Arial"/>
          <w:lang w:val="it-CH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D33085" w:rsidRPr="00090F4B" w14:paraId="47F40CD2" w14:textId="77777777" w:rsidTr="005854EB">
        <w:tc>
          <w:tcPr>
            <w:tcW w:w="3969" w:type="dxa"/>
          </w:tcPr>
          <w:p w14:paraId="304979F3" w14:textId="28A17247" w:rsidR="00D33085" w:rsidRPr="00090F4B" w:rsidRDefault="00D33085" w:rsidP="00A05292">
            <w:pPr>
              <w:spacing w:line="260" w:lineRule="atLeast"/>
              <w:rPr>
                <w:rFonts w:ascii="Arial" w:hAnsi="Arial" w:cs="Arial"/>
                <w:b/>
                <w:bCs/>
                <w:lang w:val="it-CH"/>
              </w:rPr>
            </w:pPr>
            <w:r w:rsidRPr="00090F4B">
              <w:rPr>
                <w:rFonts w:ascii="Arial" w:hAnsi="Arial" w:cs="Arial"/>
                <w:b/>
                <w:bCs/>
                <w:lang w:val="it-CH"/>
              </w:rPr>
              <w:t>Art. 7</w:t>
            </w:r>
            <w:r w:rsidR="009F47F6" w:rsidRPr="00090F4B">
              <w:rPr>
                <w:rFonts w:ascii="Arial" w:hAnsi="Arial" w:cs="Arial"/>
                <w:b/>
                <w:bCs/>
                <w:lang w:val="it-CH"/>
              </w:rPr>
              <w:t>5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 </w:t>
            </w:r>
            <w:r w:rsidR="00B132FE" w:rsidRPr="00090F4B">
              <w:rPr>
                <w:rFonts w:ascii="Arial" w:hAnsi="Arial" w:cs="Arial"/>
                <w:b/>
                <w:bCs/>
                <w:lang w:val="it-CH"/>
              </w:rPr>
              <w:t>lett.</w:t>
            </w:r>
            <w:r w:rsidRPr="00090F4B">
              <w:rPr>
                <w:rFonts w:ascii="Arial" w:hAnsi="Arial" w:cs="Arial"/>
                <w:b/>
                <w:bCs/>
                <w:lang w:val="it-CH"/>
              </w:rPr>
              <w:t xml:space="preserve"> b PPM</w:t>
            </w:r>
          </w:p>
          <w:p w14:paraId="2072C392" w14:textId="5C3BEFF7" w:rsidR="00D33085" w:rsidRPr="00090F4B" w:rsidRDefault="00B417AA" w:rsidP="00A05292">
            <w:pPr>
              <w:spacing w:line="260" w:lineRule="atLeast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Diritto di non deporre</w:t>
            </w:r>
          </w:p>
        </w:tc>
        <w:tc>
          <w:tcPr>
            <w:tcW w:w="5245" w:type="dxa"/>
          </w:tcPr>
          <w:p w14:paraId="185BEC10" w14:textId="44992C77" w:rsidR="00D33085" w:rsidRPr="00090F4B" w:rsidRDefault="00624D26" w:rsidP="00B97A57">
            <w:pPr>
              <w:pStyle w:val="Listenabsatz"/>
              <w:tabs>
                <w:tab w:val="left" w:pos="284"/>
              </w:tabs>
              <w:spacing w:after="0"/>
              <w:ind w:left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Possono rifiutare di testimoniare</w:t>
            </w:r>
            <w:r w:rsidR="00D33085" w:rsidRPr="00090F4B">
              <w:rPr>
                <w:rFonts w:ascii="Arial" w:hAnsi="Arial" w:cs="Arial"/>
                <w:lang w:val="it-CH"/>
              </w:rPr>
              <w:t>:</w:t>
            </w:r>
          </w:p>
          <w:p w14:paraId="197BDA63" w14:textId="1AE81FE0" w:rsidR="00D33085" w:rsidRPr="00090F4B" w:rsidRDefault="00D33085" w:rsidP="00B97A57">
            <w:pPr>
              <w:pStyle w:val="Listenabsatz"/>
              <w:tabs>
                <w:tab w:val="left" w:pos="284"/>
              </w:tabs>
              <w:spacing w:after="0"/>
              <w:ind w:left="0"/>
              <w:jc w:val="both"/>
              <w:rPr>
                <w:rFonts w:ascii="Arial" w:hAnsi="Arial" w:cs="Arial"/>
                <w:lang w:val="it-CH"/>
              </w:rPr>
            </w:pPr>
          </w:p>
          <w:p w14:paraId="561B96C3" w14:textId="6C47CB58" w:rsidR="009F47F6" w:rsidRPr="00090F4B" w:rsidRDefault="009F47F6" w:rsidP="00B97A57">
            <w:pPr>
              <w:pStyle w:val="Listenabsatz"/>
              <w:tabs>
                <w:tab w:val="left" w:pos="284"/>
              </w:tabs>
              <w:spacing w:after="0"/>
              <w:ind w:left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>…</w:t>
            </w:r>
          </w:p>
          <w:p w14:paraId="1950E3DC" w14:textId="77777777" w:rsidR="009F47F6" w:rsidRPr="00090F4B" w:rsidRDefault="009F47F6" w:rsidP="00B97A57">
            <w:pPr>
              <w:pStyle w:val="Listenabsatz"/>
              <w:tabs>
                <w:tab w:val="left" w:pos="284"/>
              </w:tabs>
              <w:spacing w:after="0"/>
              <w:ind w:left="0"/>
              <w:jc w:val="both"/>
              <w:rPr>
                <w:rFonts w:ascii="Arial" w:hAnsi="Arial" w:cs="Arial"/>
                <w:lang w:val="it-CH"/>
              </w:rPr>
            </w:pPr>
          </w:p>
          <w:p w14:paraId="4975D187" w14:textId="0C07D7ED" w:rsidR="00D33085" w:rsidRPr="00090F4B" w:rsidRDefault="00624D26" w:rsidP="00B97A57">
            <w:pPr>
              <w:pStyle w:val="Listenabsatz"/>
              <w:numPr>
                <w:ilvl w:val="0"/>
                <w:numId w:val="23"/>
              </w:numPr>
              <w:tabs>
                <w:tab w:val="left" w:pos="284"/>
              </w:tabs>
              <w:spacing w:after="120"/>
              <w:ind w:left="0" w:firstLine="0"/>
              <w:jc w:val="both"/>
              <w:rPr>
                <w:rFonts w:ascii="Arial" w:hAnsi="Arial" w:cs="Arial"/>
                <w:lang w:val="it-CH"/>
              </w:rPr>
            </w:pPr>
            <w:r w:rsidRPr="00090F4B">
              <w:rPr>
                <w:rFonts w:ascii="Arial" w:hAnsi="Arial" w:cs="Arial"/>
                <w:lang w:val="it-CH"/>
              </w:rPr>
              <w:t xml:space="preserve">gli ecclesiastici, gli avvocati, i difensori, i notai, i consulenti in brevetti, i medici, i dentisti, i chiropratici, i farmacisti, gli psicologi, </w:t>
            </w:r>
            <w:r w:rsidRPr="00090F4B">
              <w:rPr>
                <w:rFonts w:ascii="Arial" w:hAnsi="Arial" w:cs="Arial"/>
                <w:color w:val="FF0000"/>
                <w:lang w:val="it-CH"/>
              </w:rPr>
              <w:t>gli infermieri, i fisioterapisti, gli ergoterapisti, le levatrici, i dietisti, gli optometristi, gli osteopati</w:t>
            </w:r>
            <w:r w:rsidRPr="00090F4B">
              <w:rPr>
                <w:rFonts w:ascii="Arial" w:hAnsi="Arial" w:cs="Arial"/>
                <w:lang w:val="it-CH"/>
              </w:rPr>
              <w:t xml:space="preserve"> e i loro ausiliari professionali, su segreti loro confidati in ragione della loro professione o da loro appresi nell’esercizio della loro attività; se l’interessato li svincola dal segreto, essi devono testimoniare salvo che non sia preponderante l’interesse al mantenimento del segreto</w:t>
            </w:r>
            <w:r w:rsidR="00D33085" w:rsidRPr="00090F4B">
              <w:rPr>
                <w:rFonts w:ascii="Arial" w:hAnsi="Arial" w:cs="Arial"/>
                <w:lang w:val="it-CH"/>
              </w:rPr>
              <w:t>;</w:t>
            </w:r>
          </w:p>
        </w:tc>
      </w:tr>
    </w:tbl>
    <w:p w14:paraId="6219AD06" w14:textId="77777777" w:rsidR="00774615" w:rsidRPr="00090F4B" w:rsidRDefault="00774615" w:rsidP="00A05292">
      <w:pPr>
        <w:spacing w:line="260" w:lineRule="atLeast"/>
        <w:rPr>
          <w:rFonts w:ascii="Arial" w:hAnsi="Arial" w:cs="Arial"/>
          <w:lang w:val="it-CH"/>
        </w:rPr>
      </w:pPr>
    </w:p>
    <w:p w14:paraId="0E0F9FC4" w14:textId="77777777" w:rsidR="00774615" w:rsidRPr="00090F4B" w:rsidRDefault="00774615" w:rsidP="00A05292">
      <w:pPr>
        <w:spacing w:line="260" w:lineRule="atLeast"/>
        <w:rPr>
          <w:rFonts w:ascii="Arial" w:hAnsi="Arial" w:cs="Arial"/>
          <w:lang w:val="it-CH"/>
        </w:rPr>
      </w:pPr>
    </w:p>
    <w:sectPr w:rsidR="00774615" w:rsidRPr="00090F4B" w:rsidSect="00480D8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19" w:right="991" w:bottom="680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B14E" w14:textId="77777777" w:rsidR="00B75521" w:rsidRDefault="00B75521" w:rsidP="00E31AD7">
      <w:r>
        <w:separator/>
      </w:r>
    </w:p>
    <w:p w14:paraId="5A9DB11C" w14:textId="77777777" w:rsidR="00B75521" w:rsidRDefault="00B75521"/>
  </w:endnote>
  <w:endnote w:type="continuationSeparator" w:id="0">
    <w:p w14:paraId="1B7797C0" w14:textId="77777777" w:rsidR="00B75521" w:rsidRDefault="00B75521" w:rsidP="00E31AD7">
      <w:r>
        <w:continuationSeparator/>
      </w:r>
    </w:p>
    <w:p w14:paraId="5605708C" w14:textId="77777777" w:rsidR="00B75521" w:rsidRDefault="00B75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034254385"/>
      <w:docPartObj>
        <w:docPartGallery w:val="Page Numbers (Bottom of Page)"/>
        <w:docPartUnique/>
      </w:docPartObj>
    </w:sdtPr>
    <w:sdtEndPr/>
    <w:sdtContent>
      <w:p w14:paraId="6E149879" w14:textId="77743B43" w:rsidR="00B132FE" w:rsidRPr="00F34107" w:rsidRDefault="00B132FE" w:rsidP="00B132FE">
        <w:pPr>
          <w:pStyle w:val="Fuzeile"/>
          <w:jc w:val="left"/>
          <w:rPr>
            <w:rFonts w:ascii="Arial" w:hAnsi="Arial" w:cs="Arial"/>
            <w:sz w:val="16"/>
            <w:szCs w:val="16"/>
            <w:lang w:val="it-CH"/>
          </w:rPr>
        </w:pPr>
        <w:r w:rsidRPr="00F34107">
          <w:rPr>
            <w:rFonts w:ascii="Arial" w:hAnsi="Arial" w:cs="Arial"/>
            <w:sz w:val="16"/>
            <w:szCs w:val="16"/>
            <w:lang w:val="it-CH"/>
          </w:rPr>
          <w:t xml:space="preserve">Documento elaborato sulla presentazione fatta dal colonnello Bernhard </w:t>
        </w:r>
        <w:proofErr w:type="spellStart"/>
        <w:r w:rsidRPr="00F34107">
          <w:rPr>
            <w:rFonts w:ascii="Arial" w:hAnsi="Arial" w:cs="Arial"/>
            <w:sz w:val="16"/>
            <w:szCs w:val="16"/>
            <w:lang w:val="it-CH"/>
          </w:rPr>
          <w:t>Isenring</w:t>
        </w:r>
        <w:proofErr w:type="spellEnd"/>
        <w:r w:rsidRPr="00F34107">
          <w:rPr>
            <w:rFonts w:ascii="Arial" w:hAnsi="Arial" w:cs="Arial"/>
            <w:sz w:val="16"/>
            <w:szCs w:val="16"/>
            <w:lang w:val="it-CH"/>
          </w:rPr>
          <w:t xml:space="preserve">, capo Istruzione </w:t>
        </w:r>
        <w:r w:rsidR="00F34107">
          <w:rPr>
            <w:rFonts w:ascii="Arial" w:hAnsi="Arial" w:cs="Arial"/>
            <w:sz w:val="16"/>
            <w:szCs w:val="16"/>
            <w:lang w:val="it-CH"/>
          </w:rPr>
          <w:t>GM</w:t>
        </w:r>
        <w:r w:rsidRPr="00F34107">
          <w:rPr>
            <w:rFonts w:ascii="Arial" w:hAnsi="Arial" w:cs="Arial"/>
            <w:sz w:val="16"/>
            <w:szCs w:val="16"/>
            <w:lang w:val="it-CH"/>
          </w:rPr>
          <w:t>, il 17.01.2025</w:t>
        </w:r>
      </w:p>
      <w:p w14:paraId="62CEF7BF" w14:textId="5AFDEC8A" w:rsidR="0067620D" w:rsidRPr="00F34107" w:rsidRDefault="00266C12" w:rsidP="00B132FE">
        <w:pPr>
          <w:pStyle w:val="Fuzeile"/>
          <w:jc w:val="right"/>
          <w:rPr>
            <w:rFonts w:ascii="Arial" w:hAnsi="Arial" w:cs="Arial"/>
            <w:lang w:val="it-CH"/>
          </w:rPr>
        </w:pPr>
        <w:r w:rsidRPr="00F34107">
          <w:rPr>
            <w:rFonts w:ascii="Arial" w:hAnsi="Arial" w:cs="Arial"/>
          </w:rPr>
          <w:fldChar w:fldCharType="begin"/>
        </w:r>
        <w:r w:rsidRPr="00F34107">
          <w:rPr>
            <w:rFonts w:ascii="Arial" w:hAnsi="Arial" w:cs="Arial"/>
            <w:lang w:val="it-CH"/>
          </w:rPr>
          <w:instrText>PAGE   \* MERGEFORMAT</w:instrText>
        </w:r>
        <w:r w:rsidRPr="00F34107">
          <w:rPr>
            <w:rFonts w:ascii="Arial" w:hAnsi="Arial" w:cs="Arial"/>
          </w:rPr>
          <w:fldChar w:fldCharType="separate"/>
        </w:r>
        <w:r w:rsidRPr="00F34107">
          <w:rPr>
            <w:rFonts w:ascii="Arial" w:hAnsi="Arial" w:cs="Arial"/>
            <w:lang w:val="it-CH"/>
          </w:rPr>
          <w:t>2</w:t>
        </w:r>
        <w:r w:rsidRPr="00F34107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AB81" w14:textId="41349276" w:rsidR="00266C12" w:rsidRPr="009E5818" w:rsidRDefault="009E5818" w:rsidP="00266C12">
    <w:pPr>
      <w:pStyle w:val="Fuzeile"/>
      <w:jc w:val="left"/>
      <w:rPr>
        <w:lang w:val="it-CH"/>
      </w:rPr>
    </w:pPr>
    <w:r w:rsidRPr="009E5818">
      <w:rPr>
        <w:rFonts w:cs="Arial"/>
        <w:sz w:val="16"/>
        <w:szCs w:val="16"/>
        <w:lang w:val="it-CH"/>
      </w:rPr>
      <w:t xml:space="preserve">Documento </w:t>
    </w:r>
    <w:r>
      <w:rPr>
        <w:rFonts w:cs="Arial"/>
        <w:sz w:val="16"/>
        <w:szCs w:val="16"/>
        <w:lang w:val="it-CH"/>
      </w:rPr>
      <w:t>elaborato</w:t>
    </w:r>
    <w:r w:rsidRPr="009E5818">
      <w:rPr>
        <w:rFonts w:cs="Arial"/>
        <w:sz w:val="16"/>
        <w:szCs w:val="16"/>
        <w:lang w:val="it-CH"/>
      </w:rPr>
      <w:t xml:space="preserve"> sulla presentazione fatta dal colonnello Bernhard </w:t>
    </w:r>
    <w:proofErr w:type="spellStart"/>
    <w:r w:rsidRPr="009E5818">
      <w:rPr>
        <w:rFonts w:cs="Arial"/>
        <w:sz w:val="16"/>
        <w:szCs w:val="16"/>
        <w:lang w:val="it-CH"/>
      </w:rPr>
      <w:t>Isenring</w:t>
    </w:r>
    <w:proofErr w:type="spellEnd"/>
    <w:r w:rsidRPr="009E5818">
      <w:rPr>
        <w:rFonts w:cs="Arial"/>
        <w:sz w:val="16"/>
        <w:szCs w:val="16"/>
        <w:lang w:val="it-CH"/>
      </w:rPr>
      <w:t xml:space="preserve">, capo </w:t>
    </w:r>
    <w:r>
      <w:rPr>
        <w:rFonts w:cs="Arial"/>
        <w:sz w:val="16"/>
        <w:szCs w:val="16"/>
        <w:lang w:val="it-CH"/>
      </w:rPr>
      <w:t xml:space="preserve">Istruzione </w:t>
    </w:r>
    <w:r w:rsidRPr="009E5818">
      <w:rPr>
        <w:rFonts w:cs="Arial"/>
        <w:sz w:val="16"/>
        <w:szCs w:val="16"/>
        <w:lang w:val="it-CH"/>
      </w:rPr>
      <w:t>della giustizia militare, il 17.01.2025</w:t>
    </w:r>
    <w:r>
      <w:rPr>
        <w:rFonts w:cs="Arial"/>
        <w:sz w:val="16"/>
        <w:szCs w:val="16"/>
        <w:lang w:val="it-CH"/>
      </w:rPr>
      <w:t xml:space="preserve"> </w:t>
    </w:r>
  </w:p>
  <w:sdt>
    <w:sdtPr>
      <w:id w:val="-293148801"/>
      <w:docPartObj>
        <w:docPartGallery w:val="Page Numbers (Bottom of Page)"/>
        <w:docPartUnique/>
      </w:docPartObj>
    </w:sdtPr>
    <w:sdtEndPr/>
    <w:sdtContent>
      <w:p w14:paraId="341187A0" w14:textId="0B6BDA1A" w:rsidR="00266C12" w:rsidRDefault="00266C1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DADA" w14:textId="77777777" w:rsidR="00B75521" w:rsidRDefault="00B75521" w:rsidP="00E31AD7">
      <w:r>
        <w:separator/>
      </w:r>
    </w:p>
    <w:p w14:paraId="6C889CF5" w14:textId="77777777" w:rsidR="00B75521" w:rsidRDefault="00B75521"/>
  </w:footnote>
  <w:footnote w:type="continuationSeparator" w:id="0">
    <w:p w14:paraId="514CF623" w14:textId="77777777" w:rsidR="00B75521" w:rsidRDefault="00B75521" w:rsidP="00E31AD7">
      <w:r>
        <w:continuationSeparator/>
      </w:r>
    </w:p>
    <w:p w14:paraId="108B8FF5" w14:textId="77777777" w:rsidR="00B75521" w:rsidRDefault="00B75521"/>
  </w:footnote>
  <w:footnote w:id="1">
    <w:p w14:paraId="4D8A93A9" w14:textId="2231D553" w:rsidR="00D64668" w:rsidRPr="00F34107" w:rsidRDefault="001B5820" w:rsidP="00D33085">
      <w:pPr>
        <w:pStyle w:val="Funotentext"/>
        <w:ind w:left="142" w:hanging="142"/>
        <w:jc w:val="both"/>
        <w:rPr>
          <w:rFonts w:ascii="Arial" w:hAnsi="Arial" w:cs="Arial"/>
          <w:lang w:val="it-CH"/>
        </w:rPr>
      </w:pPr>
      <w:r w:rsidRPr="00F34107">
        <w:rPr>
          <w:rStyle w:val="Funotenzeichen"/>
          <w:rFonts w:ascii="Arial" w:hAnsi="Arial" w:cs="Arial"/>
        </w:rPr>
        <w:footnoteRef/>
      </w:r>
      <w:r w:rsidRPr="00F34107">
        <w:rPr>
          <w:rFonts w:ascii="Arial" w:hAnsi="Arial" w:cs="Arial"/>
          <w:lang w:val="it-CH"/>
        </w:rPr>
        <w:t xml:space="preserve"> </w:t>
      </w:r>
      <w:r w:rsidR="000A591F" w:rsidRPr="00F34107">
        <w:rPr>
          <w:rFonts w:ascii="Arial" w:hAnsi="Arial" w:cs="Arial"/>
          <w:lang w:val="it-CH"/>
        </w:rPr>
        <w:t>Nelle tabelle seguenti sono riportate solo le modifiche materiali. Non sono incluse le modifiche esclusivamente redazionali e quelle che riguardano solo il quadro penale</w:t>
      </w:r>
      <w:r w:rsidRPr="00F34107">
        <w:rPr>
          <w:rFonts w:ascii="Arial" w:hAnsi="Arial" w:cs="Arial"/>
          <w:lang w:val="it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DB16" w14:textId="77777777" w:rsidR="009A129B" w:rsidRPr="007A3C95" w:rsidRDefault="009A129B" w:rsidP="00703C62">
    <w:pPr>
      <w:pStyle w:val="Kopfzeile"/>
      <w:tabs>
        <w:tab w:val="left" w:pos="1605"/>
      </w:tabs>
      <w:rPr>
        <w:sz w:val="9"/>
        <w:szCs w:val="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Ind w:w="-680" w:type="dxa"/>
      <w:tblLayout w:type="fixed"/>
      <w:tblLook w:val="01E0" w:firstRow="1" w:lastRow="1" w:firstColumn="1" w:lastColumn="1" w:noHBand="0" w:noVBand="0"/>
    </w:tblPr>
    <w:tblGrid>
      <w:gridCol w:w="4848"/>
      <w:gridCol w:w="4932"/>
    </w:tblGrid>
    <w:tr w:rsidR="00971EE3" w:rsidRPr="00090F4B" w14:paraId="7FCEF602" w14:textId="77777777" w:rsidTr="007C4654">
      <w:trPr>
        <w:cantSplit/>
        <w:trHeight w:hRule="exact" w:val="1839"/>
      </w:trPr>
      <w:tc>
        <w:tcPr>
          <w:tcW w:w="4848" w:type="dxa"/>
        </w:tcPr>
        <w:p w14:paraId="4C281908" w14:textId="77777777" w:rsidR="00C839AE" w:rsidRPr="00C839AE" w:rsidRDefault="00971EE3" w:rsidP="00C839AE">
          <w:pPr>
            <w:pStyle w:val="Logo"/>
            <w:rPr>
              <w:rFonts w:cs="Arial"/>
            </w:rPr>
          </w:pPr>
          <w:r w:rsidRPr="00971EE3">
            <w:rPr>
              <w:rFonts w:cs="Arial"/>
            </w:rPr>
            <w:drawing>
              <wp:inline distT="0" distB="0" distL="0" distR="0" wp14:anchorId="16A5F232" wp14:editId="77492E85">
                <wp:extent cx="2006600" cy="876300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66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2" w:type="dxa"/>
        </w:tcPr>
        <w:p w14:paraId="17308652" w14:textId="1F367FD3" w:rsidR="00533896" w:rsidRPr="00F34107" w:rsidRDefault="00533896">
          <w:pPr>
            <w:pStyle w:val="KopfDept"/>
            <w:spacing w:after="0" w:line="200" w:lineRule="atLeast"/>
            <w:rPr>
              <w:rFonts w:ascii="Arial" w:hAnsi="Arial" w:cs="Arial"/>
              <w:lang w:val="it-CH"/>
            </w:rPr>
          </w:pPr>
          <w:r w:rsidRPr="00F34107">
            <w:rPr>
              <w:rFonts w:ascii="Arial" w:hAnsi="Arial" w:cs="Arial"/>
              <w:lang w:val="it-CH"/>
            </w:rPr>
            <w:t>Dipartimento federale della difesa,</w:t>
          </w:r>
        </w:p>
        <w:p w14:paraId="1571C63B" w14:textId="7D2C757A" w:rsidR="00D64668" w:rsidRPr="00F34107" w:rsidRDefault="00533896" w:rsidP="00533896">
          <w:pPr>
            <w:pStyle w:val="KopfDept"/>
            <w:spacing w:after="0" w:line="200" w:lineRule="atLeast"/>
            <w:rPr>
              <w:rFonts w:ascii="Arial" w:hAnsi="Arial" w:cs="Arial"/>
              <w:lang w:val="it-CH"/>
            </w:rPr>
          </w:pPr>
          <w:r w:rsidRPr="00F34107">
            <w:rPr>
              <w:rFonts w:ascii="Arial" w:hAnsi="Arial" w:cs="Arial"/>
              <w:lang w:val="it-CH"/>
            </w:rPr>
            <w:t xml:space="preserve">della protezione della popolazione e dello sport (DDPS) </w:t>
          </w:r>
        </w:p>
        <w:p w14:paraId="48CE752A" w14:textId="77777777" w:rsidR="00971EE3" w:rsidRPr="00F34107" w:rsidRDefault="00971EE3" w:rsidP="00971EE3">
          <w:pPr>
            <w:pStyle w:val="KopfFett"/>
            <w:spacing w:line="120" w:lineRule="auto"/>
            <w:rPr>
              <w:rFonts w:ascii="Arial" w:hAnsi="Arial" w:cs="Arial"/>
              <w:lang w:val="it-CH"/>
            </w:rPr>
          </w:pPr>
        </w:p>
        <w:p w14:paraId="33719AC9" w14:textId="2A543BC4" w:rsidR="00D64668" w:rsidRPr="00F34107" w:rsidRDefault="009E5818">
          <w:pPr>
            <w:pStyle w:val="KopfFett"/>
            <w:rPr>
              <w:rFonts w:ascii="Arial" w:hAnsi="Arial" w:cs="Arial"/>
              <w:lang w:val="it-CH"/>
            </w:rPr>
          </w:pPr>
          <w:r w:rsidRPr="00F34107">
            <w:rPr>
              <w:rFonts w:ascii="Arial" w:hAnsi="Arial" w:cs="Arial"/>
              <w:lang w:val="it-CH"/>
            </w:rPr>
            <w:t>Giutizia militare switzera</w:t>
          </w:r>
        </w:p>
        <w:p w14:paraId="284BD249" w14:textId="5B1D9CF3" w:rsidR="00D64668" w:rsidRPr="009E5818" w:rsidRDefault="009E5818">
          <w:pPr>
            <w:pStyle w:val="Kopfzeile"/>
            <w:rPr>
              <w:lang w:val="it-CH"/>
            </w:rPr>
          </w:pPr>
          <w:r w:rsidRPr="00F34107">
            <w:rPr>
              <w:rFonts w:ascii="Arial" w:hAnsi="Arial" w:cs="Arial"/>
              <w:lang w:val="it-CH"/>
            </w:rPr>
            <w:t>Stato maggiore dell’uditore in capo</w:t>
          </w:r>
        </w:p>
      </w:tc>
    </w:tr>
  </w:tbl>
  <w:p w14:paraId="41C0B379" w14:textId="77777777" w:rsidR="00420D88" w:rsidRPr="009E5818" w:rsidRDefault="00420D88" w:rsidP="00C839AE">
    <w:pPr>
      <w:pStyle w:val="Kopfzeile"/>
      <w:rPr>
        <w:rFonts w:cs="Arial"/>
        <w:sz w:val="18"/>
        <w:szCs w:val="18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03D"/>
    <w:multiLevelType w:val="hybridMultilevel"/>
    <w:tmpl w:val="B2DC325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8B4"/>
    <w:multiLevelType w:val="hybridMultilevel"/>
    <w:tmpl w:val="91981D7E"/>
    <w:lvl w:ilvl="0" w:tplc="0B0071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D5B"/>
    <w:multiLevelType w:val="hybridMultilevel"/>
    <w:tmpl w:val="294CA2F4"/>
    <w:lvl w:ilvl="0" w:tplc="0B0071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96A21"/>
    <w:multiLevelType w:val="hybridMultilevel"/>
    <w:tmpl w:val="1F8A4666"/>
    <w:lvl w:ilvl="0" w:tplc="775EC88C">
      <w:start w:val="2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D70B5D"/>
    <w:multiLevelType w:val="hybridMultilevel"/>
    <w:tmpl w:val="1CCE8588"/>
    <w:lvl w:ilvl="0" w:tplc="0A4442A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144D6"/>
    <w:multiLevelType w:val="hybridMultilevel"/>
    <w:tmpl w:val="B2DC325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8587A"/>
    <w:multiLevelType w:val="multilevel"/>
    <w:tmpl w:val="4FD885FE"/>
    <w:lvl w:ilvl="0">
      <w:start w:val="1"/>
      <w:numFmt w:val="bullet"/>
      <w:pStyle w:val="BeilagenAufzhlungszeichen"/>
      <w:lvlText w:val="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7" w15:restartNumberingAfterBreak="0">
    <w:nsid w:val="2D9436AB"/>
    <w:multiLevelType w:val="hybridMultilevel"/>
    <w:tmpl w:val="72C8E13E"/>
    <w:lvl w:ilvl="0" w:tplc="3D40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550FA"/>
    <w:multiLevelType w:val="hybridMultilevel"/>
    <w:tmpl w:val="C7CEB690"/>
    <w:lvl w:ilvl="0" w:tplc="3F96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Arial"/>
      </w:rPr>
    </w:lvl>
    <w:lvl w:ilvl="1" w:tplc="655841E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6D723E9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CB8AF18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3FCBA7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F86014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0D44371E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FDDA4028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CED6A67C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D1711"/>
    <w:multiLevelType w:val="hybridMultilevel"/>
    <w:tmpl w:val="1C54329E"/>
    <w:lvl w:ilvl="0" w:tplc="4A3666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4FA9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6AD6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F3CA81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ED452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12C77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C061CD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136B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BE38E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90141"/>
    <w:multiLevelType w:val="hybridMultilevel"/>
    <w:tmpl w:val="B2DC325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90CD3"/>
    <w:multiLevelType w:val="hybridMultilevel"/>
    <w:tmpl w:val="B20AA3E8"/>
    <w:lvl w:ilvl="0" w:tplc="1090D1A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D7F13"/>
    <w:multiLevelType w:val="hybridMultilevel"/>
    <w:tmpl w:val="23FE355A"/>
    <w:lvl w:ilvl="0" w:tplc="1284C4A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C7773"/>
    <w:multiLevelType w:val="hybridMultilevel"/>
    <w:tmpl w:val="96B40D80"/>
    <w:lvl w:ilvl="0" w:tplc="40DA6948">
      <w:start w:val="7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00B8C"/>
    <w:multiLevelType w:val="hybridMultilevel"/>
    <w:tmpl w:val="762E5CAC"/>
    <w:lvl w:ilvl="0" w:tplc="A21A3A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B43C5"/>
    <w:multiLevelType w:val="multilevel"/>
    <w:tmpl w:val="B2F04380"/>
    <w:lvl w:ilvl="0">
      <w:start w:val="1"/>
      <w:numFmt w:val="decimal"/>
      <w:pStyle w:val="Tit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el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el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itel4"/>
      <w:lvlText w:val="%1.%2.%3.%4"/>
      <w:lvlJc w:val="left"/>
      <w:pPr>
        <w:tabs>
          <w:tab w:val="num" w:pos="567"/>
        </w:tabs>
        <w:ind w:left="992" w:hanging="992"/>
      </w:pPr>
      <w:rPr>
        <w:rFonts w:hint="default"/>
      </w:rPr>
    </w:lvl>
    <w:lvl w:ilvl="4">
      <w:start w:val="1"/>
      <w:numFmt w:val="decimal"/>
      <w:lvlRestart w:val="1"/>
      <w:lvlText w:val="%5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5">
      <w:start w:val="1"/>
      <w:numFmt w:val="decimal"/>
      <w:lvlText w:val="%5.%6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decimal"/>
      <w:lvlText w:val="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9A75A8F"/>
    <w:multiLevelType w:val="hybridMultilevel"/>
    <w:tmpl w:val="F3B2755C"/>
    <w:lvl w:ilvl="0" w:tplc="A21A3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C1797"/>
    <w:multiLevelType w:val="hybridMultilevel"/>
    <w:tmpl w:val="B2DC325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76A33"/>
    <w:multiLevelType w:val="hybridMultilevel"/>
    <w:tmpl w:val="9B8E2484"/>
    <w:lvl w:ilvl="0" w:tplc="6C848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26152"/>
    <w:multiLevelType w:val="hybridMultilevel"/>
    <w:tmpl w:val="47ACFAC0"/>
    <w:lvl w:ilvl="0" w:tplc="4888D7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E26AA"/>
    <w:multiLevelType w:val="hybridMultilevel"/>
    <w:tmpl w:val="20D602C4"/>
    <w:lvl w:ilvl="0" w:tplc="3D402AB4">
      <w:start w:val="3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622ED"/>
    <w:multiLevelType w:val="hybridMultilevel"/>
    <w:tmpl w:val="D932FB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A34B0"/>
    <w:multiLevelType w:val="hybridMultilevel"/>
    <w:tmpl w:val="18AAB8C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C7B74"/>
    <w:multiLevelType w:val="hybridMultilevel"/>
    <w:tmpl w:val="834ED5A8"/>
    <w:lvl w:ilvl="0" w:tplc="34504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Arial" w:hint="default"/>
        <w:color w:val="auto"/>
      </w:rPr>
    </w:lvl>
    <w:lvl w:ilvl="1" w:tplc="CA9696C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CA42006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19C10E0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E092EF5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F6606A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66428B28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F55A3EC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3DFA01A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D93203"/>
    <w:multiLevelType w:val="hybridMultilevel"/>
    <w:tmpl w:val="9F1EF306"/>
    <w:lvl w:ilvl="0" w:tplc="B9D8231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484B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C8FF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7FA621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3000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B0F42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E3A4C0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F5C6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745ED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CA5940"/>
    <w:multiLevelType w:val="multilevel"/>
    <w:tmpl w:val="0902F048"/>
    <w:lvl w:ilvl="0">
      <w:start w:val="1"/>
      <w:numFmt w:val="decimal"/>
      <w:pStyle w:val="BeilagenNummeriert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6" w15:restartNumberingAfterBreak="0">
    <w:nsid w:val="6D192C13"/>
    <w:multiLevelType w:val="hybridMultilevel"/>
    <w:tmpl w:val="00D077D8"/>
    <w:lvl w:ilvl="0" w:tplc="1A1CEA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11A4D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743B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F5E4EB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BC8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B0D4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D22E1B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7C8C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10F4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C138B0"/>
    <w:multiLevelType w:val="hybridMultilevel"/>
    <w:tmpl w:val="3224DB44"/>
    <w:lvl w:ilvl="0" w:tplc="623CED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7168B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D031E24"/>
    <w:multiLevelType w:val="hybridMultilevel"/>
    <w:tmpl w:val="1F626496"/>
    <w:lvl w:ilvl="0" w:tplc="5D7A773E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039376">
    <w:abstractNumId w:val="28"/>
  </w:num>
  <w:num w:numId="2" w16cid:durableId="2045137118">
    <w:abstractNumId w:val="25"/>
  </w:num>
  <w:num w:numId="3" w16cid:durableId="389502772">
    <w:abstractNumId w:val="6"/>
  </w:num>
  <w:num w:numId="4" w16cid:durableId="684593737">
    <w:abstractNumId w:val="3"/>
  </w:num>
  <w:num w:numId="5" w16cid:durableId="1325432733">
    <w:abstractNumId w:val="15"/>
  </w:num>
  <w:num w:numId="6" w16cid:durableId="1725564488">
    <w:abstractNumId w:val="22"/>
  </w:num>
  <w:num w:numId="7" w16cid:durableId="885874438">
    <w:abstractNumId w:val="29"/>
  </w:num>
  <w:num w:numId="8" w16cid:durableId="1629822132">
    <w:abstractNumId w:val="15"/>
  </w:num>
  <w:num w:numId="9" w16cid:durableId="18726502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6842797">
    <w:abstractNumId w:val="17"/>
  </w:num>
  <w:num w:numId="11" w16cid:durableId="519587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99227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3" w16cid:durableId="818424324">
    <w:abstractNumId w:val="4"/>
  </w:num>
  <w:num w:numId="14" w16cid:durableId="4635007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5" w16cid:durableId="2016833426">
    <w:abstractNumId w:val="13"/>
  </w:num>
  <w:num w:numId="16" w16cid:durableId="16098975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7" w16cid:durableId="1800104511">
    <w:abstractNumId w:val="23"/>
  </w:num>
  <w:num w:numId="18" w16cid:durableId="913441240">
    <w:abstractNumId w:val="19"/>
  </w:num>
  <w:num w:numId="19" w16cid:durableId="1642728928">
    <w:abstractNumId w:val="20"/>
  </w:num>
  <w:num w:numId="20" w16cid:durableId="2056732691">
    <w:abstractNumId w:val="8"/>
  </w:num>
  <w:num w:numId="21" w16cid:durableId="1458911449">
    <w:abstractNumId w:val="7"/>
  </w:num>
  <w:num w:numId="22" w16cid:durableId="570969673">
    <w:abstractNumId w:val="1"/>
  </w:num>
  <w:num w:numId="23" w16cid:durableId="1767384555">
    <w:abstractNumId w:val="2"/>
  </w:num>
  <w:num w:numId="24" w16cid:durableId="773087751">
    <w:abstractNumId w:val="12"/>
  </w:num>
  <w:num w:numId="25" w16cid:durableId="2080514730">
    <w:abstractNumId w:val="14"/>
  </w:num>
  <w:num w:numId="26" w16cid:durableId="854923717">
    <w:abstractNumId w:val="11"/>
  </w:num>
  <w:num w:numId="27" w16cid:durableId="1428505154">
    <w:abstractNumId w:val="16"/>
  </w:num>
  <w:num w:numId="28" w16cid:durableId="957294663">
    <w:abstractNumId w:val="9"/>
  </w:num>
  <w:num w:numId="29" w16cid:durableId="347948580">
    <w:abstractNumId w:val="10"/>
  </w:num>
  <w:num w:numId="30" w16cid:durableId="683942923">
    <w:abstractNumId w:val="26"/>
  </w:num>
  <w:num w:numId="31" w16cid:durableId="1285575321">
    <w:abstractNumId w:val="5"/>
  </w:num>
  <w:num w:numId="32" w16cid:durableId="1656252756">
    <w:abstractNumId w:val="24"/>
  </w:num>
  <w:num w:numId="33" w16cid:durableId="2087798122">
    <w:abstractNumId w:val="0"/>
  </w:num>
  <w:num w:numId="34" w16cid:durableId="1764716060">
    <w:abstractNumId w:val="21"/>
  </w:num>
  <w:num w:numId="35" w16cid:durableId="189996095">
    <w:abstractNumId w:val="18"/>
  </w:num>
  <w:num w:numId="36" w16cid:durableId="1660933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3139510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F8"/>
    <w:rsid w:val="00004F26"/>
    <w:rsid w:val="000056DD"/>
    <w:rsid w:val="000066A7"/>
    <w:rsid w:val="0001240D"/>
    <w:rsid w:val="00013121"/>
    <w:rsid w:val="000153A3"/>
    <w:rsid w:val="00016A9F"/>
    <w:rsid w:val="00017F79"/>
    <w:rsid w:val="000219E0"/>
    <w:rsid w:val="00023296"/>
    <w:rsid w:val="000235C2"/>
    <w:rsid w:val="00025297"/>
    <w:rsid w:val="00030F0F"/>
    <w:rsid w:val="00031A23"/>
    <w:rsid w:val="00036321"/>
    <w:rsid w:val="00042B24"/>
    <w:rsid w:val="00054C78"/>
    <w:rsid w:val="00057148"/>
    <w:rsid w:val="0006153E"/>
    <w:rsid w:val="0006556E"/>
    <w:rsid w:val="00066612"/>
    <w:rsid w:val="00072121"/>
    <w:rsid w:val="000812DE"/>
    <w:rsid w:val="00086F1C"/>
    <w:rsid w:val="00090F4B"/>
    <w:rsid w:val="00092B5E"/>
    <w:rsid w:val="00093BF8"/>
    <w:rsid w:val="00094756"/>
    <w:rsid w:val="000A050C"/>
    <w:rsid w:val="000A122D"/>
    <w:rsid w:val="000A24A7"/>
    <w:rsid w:val="000A40FC"/>
    <w:rsid w:val="000A4790"/>
    <w:rsid w:val="000A591F"/>
    <w:rsid w:val="000B1962"/>
    <w:rsid w:val="000B46C0"/>
    <w:rsid w:val="000B4E9E"/>
    <w:rsid w:val="000C457D"/>
    <w:rsid w:val="000C4BF5"/>
    <w:rsid w:val="000C4E2E"/>
    <w:rsid w:val="000D03B6"/>
    <w:rsid w:val="000D141B"/>
    <w:rsid w:val="000D4D4C"/>
    <w:rsid w:val="000D6553"/>
    <w:rsid w:val="000E056F"/>
    <w:rsid w:val="000E5858"/>
    <w:rsid w:val="000F2E52"/>
    <w:rsid w:val="000F608F"/>
    <w:rsid w:val="001034C9"/>
    <w:rsid w:val="0010358D"/>
    <w:rsid w:val="00110801"/>
    <w:rsid w:val="00120B41"/>
    <w:rsid w:val="001248BB"/>
    <w:rsid w:val="00124BB8"/>
    <w:rsid w:val="001321C5"/>
    <w:rsid w:val="001341D8"/>
    <w:rsid w:val="0013433F"/>
    <w:rsid w:val="0013631D"/>
    <w:rsid w:val="001373CD"/>
    <w:rsid w:val="0014132D"/>
    <w:rsid w:val="0014246C"/>
    <w:rsid w:val="001457E2"/>
    <w:rsid w:val="001501CB"/>
    <w:rsid w:val="00155F17"/>
    <w:rsid w:val="00160F87"/>
    <w:rsid w:val="00162568"/>
    <w:rsid w:val="00163DD7"/>
    <w:rsid w:val="00164A1D"/>
    <w:rsid w:val="00166247"/>
    <w:rsid w:val="001732BA"/>
    <w:rsid w:val="00173A1D"/>
    <w:rsid w:val="00175FC2"/>
    <w:rsid w:val="00193386"/>
    <w:rsid w:val="001A0254"/>
    <w:rsid w:val="001A0BCE"/>
    <w:rsid w:val="001A21D0"/>
    <w:rsid w:val="001A3D80"/>
    <w:rsid w:val="001A62BC"/>
    <w:rsid w:val="001A793E"/>
    <w:rsid w:val="001B2303"/>
    <w:rsid w:val="001B2B86"/>
    <w:rsid w:val="001B32A3"/>
    <w:rsid w:val="001B5820"/>
    <w:rsid w:val="001C22D8"/>
    <w:rsid w:val="001C3D0D"/>
    <w:rsid w:val="001C46A1"/>
    <w:rsid w:val="001C5CAA"/>
    <w:rsid w:val="001D0BCA"/>
    <w:rsid w:val="001E33B5"/>
    <w:rsid w:val="001F0C12"/>
    <w:rsid w:val="002007C7"/>
    <w:rsid w:val="00200FDB"/>
    <w:rsid w:val="00204B7C"/>
    <w:rsid w:val="002136A8"/>
    <w:rsid w:val="00214647"/>
    <w:rsid w:val="00214930"/>
    <w:rsid w:val="00222EFA"/>
    <w:rsid w:val="00231E30"/>
    <w:rsid w:val="0023343F"/>
    <w:rsid w:val="002349CC"/>
    <w:rsid w:val="00235BB8"/>
    <w:rsid w:val="002366C9"/>
    <w:rsid w:val="002412CF"/>
    <w:rsid w:val="00243D75"/>
    <w:rsid w:val="00243F5E"/>
    <w:rsid w:val="00245B49"/>
    <w:rsid w:val="002521DE"/>
    <w:rsid w:val="00261164"/>
    <w:rsid w:val="002660BC"/>
    <w:rsid w:val="00266C12"/>
    <w:rsid w:val="00271FAA"/>
    <w:rsid w:val="002731C5"/>
    <w:rsid w:val="0027583E"/>
    <w:rsid w:val="002830B4"/>
    <w:rsid w:val="0028699C"/>
    <w:rsid w:val="00291CFF"/>
    <w:rsid w:val="002A0DA8"/>
    <w:rsid w:val="002A121E"/>
    <w:rsid w:val="002A27A7"/>
    <w:rsid w:val="002A3FD3"/>
    <w:rsid w:val="002A4AE9"/>
    <w:rsid w:val="002A4C35"/>
    <w:rsid w:val="002B0917"/>
    <w:rsid w:val="002C0FC2"/>
    <w:rsid w:val="002C1931"/>
    <w:rsid w:val="002C3D1B"/>
    <w:rsid w:val="002C78DE"/>
    <w:rsid w:val="002D06B7"/>
    <w:rsid w:val="002D29CA"/>
    <w:rsid w:val="002D64BB"/>
    <w:rsid w:val="002E06A7"/>
    <w:rsid w:val="002E1EDD"/>
    <w:rsid w:val="002E456B"/>
    <w:rsid w:val="002E5436"/>
    <w:rsid w:val="002E6226"/>
    <w:rsid w:val="003045E7"/>
    <w:rsid w:val="00310B73"/>
    <w:rsid w:val="00310CE9"/>
    <w:rsid w:val="00311FAF"/>
    <w:rsid w:val="00312E30"/>
    <w:rsid w:val="00313A63"/>
    <w:rsid w:val="00314B8B"/>
    <w:rsid w:val="003165A2"/>
    <w:rsid w:val="00321263"/>
    <w:rsid w:val="00321277"/>
    <w:rsid w:val="003213AA"/>
    <w:rsid w:val="00323D30"/>
    <w:rsid w:val="0032454A"/>
    <w:rsid w:val="003270AE"/>
    <w:rsid w:val="003279C7"/>
    <w:rsid w:val="00332EF2"/>
    <w:rsid w:val="003337C1"/>
    <w:rsid w:val="003344AE"/>
    <w:rsid w:val="003345A8"/>
    <w:rsid w:val="00334CA0"/>
    <w:rsid w:val="00335111"/>
    <w:rsid w:val="00341113"/>
    <w:rsid w:val="0034213A"/>
    <w:rsid w:val="00351BF1"/>
    <w:rsid w:val="00357194"/>
    <w:rsid w:val="0036002F"/>
    <w:rsid w:val="00363B5E"/>
    <w:rsid w:val="00373A23"/>
    <w:rsid w:val="00382651"/>
    <w:rsid w:val="003841DE"/>
    <w:rsid w:val="003857B0"/>
    <w:rsid w:val="003878F3"/>
    <w:rsid w:val="0039067B"/>
    <w:rsid w:val="00393D69"/>
    <w:rsid w:val="003973DF"/>
    <w:rsid w:val="003A3DEB"/>
    <w:rsid w:val="003A40AB"/>
    <w:rsid w:val="003B2792"/>
    <w:rsid w:val="003B75B2"/>
    <w:rsid w:val="003C0141"/>
    <w:rsid w:val="003C192B"/>
    <w:rsid w:val="003C4198"/>
    <w:rsid w:val="003D25C2"/>
    <w:rsid w:val="003D527E"/>
    <w:rsid w:val="003E129B"/>
    <w:rsid w:val="003E746E"/>
    <w:rsid w:val="003F1696"/>
    <w:rsid w:val="004010D0"/>
    <w:rsid w:val="00406B14"/>
    <w:rsid w:val="0041012E"/>
    <w:rsid w:val="004158A9"/>
    <w:rsid w:val="00420D88"/>
    <w:rsid w:val="004211C9"/>
    <w:rsid w:val="004224D2"/>
    <w:rsid w:val="0042396C"/>
    <w:rsid w:val="00427787"/>
    <w:rsid w:val="00435BDD"/>
    <w:rsid w:val="0044316B"/>
    <w:rsid w:val="00447E04"/>
    <w:rsid w:val="004567FA"/>
    <w:rsid w:val="00461501"/>
    <w:rsid w:val="0046219D"/>
    <w:rsid w:val="00466DA4"/>
    <w:rsid w:val="004727B9"/>
    <w:rsid w:val="00473696"/>
    <w:rsid w:val="00480D82"/>
    <w:rsid w:val="004A1A09"/>
    <w:rsid w:val="004A3346"/>
    <w:rsid w:val="004A62D9"/>
    <w:rsid w:val="004A6E80"/>
    <w:rsid w:val="004B125E"/>
    <w:rsid w:val="004B3A24"/>
    <w:rsid w:val="004B3C06"/>
    <w:rsid w:val="004B68E8"/>
    <w:rsid w:val="004C1816"/>
    <w:rsid w:val="004C2A46"/>
    <w:rsid w:val="004C7636"/>
    <w:rsid w:val="004D29D5"/>
    <w:rsid w:val="004E36EA"/>
    <w:rsid w:val="004E39F1"/>
    <w:rsid w:val="004E4275"/>
    <w:rsid w:val="004F277D"/>
    <w:rsid w:val="004F5512"/>
    <w:rsid w:val="004F6731"/>
    <w:rsid w:val="005013D0"/>
    <w:rsid w:val="005039C4"/>
    <w:rsid w:val="00504146"/>
    <w:rsid w:val="005046D8"/>
    <w:rsid w:val="00507794"/>
    <w:rsid w:val="00507A3B"/>
    <w:rsid w:val="00510C9E"/>
    <w:rsid w:val="00513185"/>
    <w:rsid w:val="00515FCB"/>
    <w:rsid w:val="00517412"/>
    <w:rsid w:val="005209F3"/>
    <w:rsid w:val="0052147B"/>
    <w:rsid w:val="00521F93"/>
    <w:rsid w:val="005261C0"/>
    <w:rsid w:val="005265C1"/>
    <w:rsid w:val="005265F1"/>
    <w:rsid w:val="00527ABC"/>
    <w:rsid w:val="00532A0F"/>
    <w:rsid w:val="00533896"/>
    <w:rsid w:val="005353D2"/>
    <w:rsid w:val="00535F41"/>
    <w:rsid w:val="005365C4"/>
    <w:rsid w:val="00537AA4"/>
    <w:rsid w:val="005400E5"/>
    <w:rsid w:val="00545CEC"/>
    <w:rsid w:val="0055207D"/>
    <w:rsid w:val="005534BA"/>
    <w:rsid w:val="0055408F"/>
    <w:rsid w:val="00562EFA"/>
    <w:rsid w:val="00566113"/>
    <w:rsid w:val="005675F2"/>
    <w:rsid w:val="00567BDF"/>
    <w:rsid w:val="005702CF"/>
    <w:rsid w:val="00583E8E"/>
    <w:rsid w:val="005854EB"/>
    <w:rsid w:val="00596885"/>
    <w:rsid w:val="005A2704"/>
    <w:rsid w:val="005A5254"/>
    <w:rsid w:val="005A76A5"/>
    <w:rsid w:val="005B0B54"/>
    <w:rsid w:val="005C0807"/>
    <w:rsid w:val="005C3605"/>
    <w:rsid w:val="005C395C"/>
    <w:rsid w:val="005D251C"/>
    <w:rsid w:val="005D5AD3"/>
    <w:rsid w:val="005E3E41"/>
    <w:rsid w:val="005E7E2B"/>
    <w:rsid w:val="005E7F73"/>
    <w:rsid w:val="005F45C2"/>
    <w:rsid w:val="005F6988"/>
    <w:rsid w:val="005F75A8"/>
    <w:rsid w:val="00602A38"/>
    <w:rsid w:val="00607736"/>
    <w:rsid w:val="00607DD6"/>
    <w:rsid w:val="00612601"/>
    <w:rsid w:val="006156A5"/>
    <w:rsid w:val="00617E77"/>
    <w:rsid w:val="006203EE"/>
    <w:rsid w:val="00622158"/>
    <w:rsid w:val="00622CFC"/>
    <w:rsid w:val="0062479A"/>
    <w:rsid w:val="00624D26"/>
    <w:rsid w:val="006267E6"/>
    <w:rsid w:val="00626A7B"/>
    <w:rsid w:val="00627617"/>
    <w:rsid w:val="00627C52"/>
    <w:rsid w:val="00630105"/>
    <w:rsid w:val="006319E3"/>
    <w:rsid w:val="00632F73"/>
    <w:rsid w:val="006409B9"/>
    <w:rsid w:val="0064317E"/>
    <w:rsid w:val="0065055D"/>
    <w:rsid w:val="00650F02"/>
    <w:rsid w:val="00654106"/>
    <w:rsid w:val="00657728"/>
    <w:rsid w:val="0066213B"/>
    <w:rsid w:val="006625A7"/>
    <w:rsid w:val="0066315F"/>
    <w:rsid w:val="00663EEB"/>
    <w:rsid w:val="006708DA"/>
    <w:rsid w:val="006715BD"/>
    <w:rsid w:val="0067620D"/>
    <w:rsid w:val="00681B6B"/>
    <w:rsid w:val="00682AE6"/>
    <w:rsid w:val="006850D6"/>
    <w:rsid w:val="0069103F"/>
    <w:rsid w:val="006910E8"/>
    <w:rsid w:val="0069256E"/>
    <w:rsid w:val="006A1AD9"/>
    <w:rsid w:val="006A30F9"/>
    <w:rsid w:val="006A5831"/>
    <w:rsid w:val="006B0733"/>
    <w:rsid w:val="006B4AE3"/>
    <w:rsid w:val="006B63CD"/>
    <w:rsid w:val="006C5577"/>
    <w:rsid w:val="006D2392"/>
    <w:rsid w:val="006D40B8"/>
    <w:rsid w:val="006D4A01"/>
    <w:rsid w:val="006D5E58"/>
    <w:rsid w:val="006E267E"/>
    <w:rsid w:val="006E4330"/>
    <w:rsid w:val="006F5968"/>
    <w:rsid w:val="006F5F2A"/>
    <w:rsid w:val="006F69DE"/>
    <w:rsid w:val="007007ED"/>
    <w:rsid w:val="007028EB"/>
    <w:rsid w:val="00703C62"/>
    <w:rsid w:val="00704BFD"/>
    <w:rsid w:val="007070C1"/>
    <w:rsid w:val="00712DFB"/>
    <w:rsid w:val="00713C32"/>
    <w:rsid w:val="00714BA7"/>
    <w:rsid w:val="0071653A"/>
    <w:rsid w:val="00717E84"/>
    <w:rsid w:val="0072336C"/>
    <w:rsid w:val="00730EF3"/>
    <w:rsid w:val="00733C6B"/>
    <w:rsid w:val="007349EF"/>
    <w:rsid w:val="00736900"/>
    <w:rsid w:val="00741781"/>
    <w:rsid w:val="007424F0"/>
    <w:rsid w:val="00743536"/>
    <w:rsid w:val="00745AAF"/>
    <w:rsid w:val="007472DD"/>
    <w:rsid w:val="00753DC1"/>
    <w:rsid w:val="00756BEA"/>
    <w:rsid w:val="0077317D"/>
    <w:rsid w:val="00774615"/>
    <w:rsid w:val="0077778A"/>
    <w:rsid w:val="00781084"/>
    <w:rsid w:val="00783B4C"/>
    <w:rsid w:val="00784DD2"/>
    <w:rsid w:val="007867E7"/>
    <w:rsid w:val="0079177E"/>
    <w:rsid w:val="00791953"/>
    <w:rsid w:val="0079340F"/>
    <w:rsid w:val="007A2E71"/>
    <w:rsid w:val="007A3C95"/>
    <w:rsid w:val="007A4526"/>
    <w:rsid w:val="007B159E"/>
    <w:rsid w:val="007C0D22"/>
    <w:rsid w:val="007C4654"/>
    <w:rsid w:val="007C7ABC"/>
    <w:rsid w:val="007D183F"/>
    <w:rsid w:val="007D6BDF"/>
    <w:rsid w:val="007E0D68"/>
    <w:rsid w:val="007E1C2B"/>
    <w:rsid w:val="007E25A4"/>
    <w:rsid w:val="007E64D4"/>
    <w:rsid w:val="007E6F7B"/>
    <w:rsid w:val="007F09AF"/>
    <w:rsid w:val="007F1F46"/>
    <w:rsid w:val="007F3BBE"/>
    <w:rsid w:val="007F6923"/>
    <w:rsid w:val="008042F4"/>
    <w:rsid w:val="00806E46"/>
    <w:rsid w:val="00807D61"/>
    <w:rsid w:val="008154F8"/>
    <w:rsid w:val="008170F2"/>
    <w:rsid w:val="00822D3A"/>
    <w:rsid w:val="00822F8E"/>
    <w:rsid w:val="0082422E"/>
    <w:rsid w:val="00827667"/>
    <w:rsid w:val="00830D50"/>
    <w:rsid w:val="00835201"/>
    <w:rsid w:val="008507DD"/>
    <w:rsid w:val="00864819"/>
    <w:rsid w:val="00872ABC"/>
    <w:rsid w:val="008733EF"/>
    <w:rsid w:val="0087597A"/>
    <w:rsid w:val="00875F84"/>
    <w:rsid w:val="00885C31"/>
    <w:rsid w:val="008A3419"/>
    <w:rsid w:val="008B3E92"/>
    <w:rsid w:val="008B62A0"/>
    <w:rsid w:val="008B72D6"/>
    <w:rsid w:val="008C1939"/>
    <w:rsid w:val="008C34CE"/>
    <w:rsid w:val="008C4C34"/>
    <w:rsid w:val="008C54C8"/>
    <w:rsid w:val="008C5FAF"/>
    <w:rsid w:val="008D0329"/>
    <w:rsid w:val="008D1B15"/>
    <w:rsid w:val="008D2B69"/>
    <w:rsid w:val="008D329E"/>
    <w:rsid w:val="008D3DE7"/>
    <w:rsid w:val="008D45F3"/>
    <w:rsid w:val="008D5588"/>
    <w:rsid w:val="008D5C28"/>
    <w:rsid w:val="008D6E57"/>
    <w:rsid w:val="008E0371"/>
    <w:rsid w:val="008E285E"/>
    <w:rsid w:val="008E2EDD"/>
    <w:rsid w:val="008E7943"/>
    <w:rsid w:val="008F30A5"/>
    <w:rsid w:val="008F3225"/>
    <w:rsid w:val="008F54F0"/>
    <w:rsid w:val="008F631F"/>
    <w:rsid w:val="008F6951"/>
    <w:rsid w:val="008F6BC6"/>
    <w:rsid w:val="00902778"/>
    <w:rsid w:val="009027F1"/>
    <w:rsid w:val="00902A12"/>
    <w:rsid w:val="0091055A"/>
    <w:rsid w:val="00917BA9"/>
    <w:rsid w:val="00920B57"/>
    <w:rsid w:val="00923175"/>
    <w:rsid w:val="0093029B"/>
    <w:rsid w:val="00933B06"/>
    <w:rsid w:val="0093524A"/>
    <w:rsid w:val="009375B3"/>
    <w:rsid w:val="0094235C"/>
    <w:rsid w:val="00945466"/>
    <w:rsid w:val="00950208"/>
    <w:rsid w:val="00971EE3"/>
    <w:rsid w:val="00976889"/>
    <w:rsid w:val="00980AAA"/>
    <w:rsid w:val="00983D85"/>
    <w:rsid w:val="00984A3B"/>
    <w:rsid w:val="00994662"/>
    <w:rsid w:val="00997464"/>
    <w:rsid w:val="009A1255"/>
    <w:rsid w:val="009A129B"/>
    <w:rsid w:val="009A27A6"/>
    <w:rsid w:val="009A3B54"/>
    <w:rsid w:val="009A696A"/>
    <w:rsid w:val="009B0B3B"/>
    <w:rsid w:val="009B176E"/>
    <w:rsid w:val="009B4187"/>
    <w:rsid w:val="009B4C9D"/>
    <w:rsid w:val="009C0659"/>
    <w:rsid w:val="009D2DEF"/>
    <w:rsid w:val="009E5818"/>
    <w:rsid w:val="009F0912"/>
    <w:rsid w:val="009F0976"/>
    <w:rsid w:val="009F2392"/>
    <w:rsid w:val="009F43AD"/>
    <w:rsid w:val="009F47F6"/>
    <w:rsid w:val="009F4F35"/>
    <w:rsid w:val="00A0222B"/>
    <w:rsid w:val="00A03F11"/>
    <w:rsid w:val="00A05292"/>
    <w:rsid w:val="00A066AC"/>
    <w:rsid w:val="00A20D5C"/>
    <w:rsid w:val="00A261C4"/>
    <w:rsid w:val="00A26AD3"/>
    <w:rsid w:val="00A32824"/>
    <w:rsid w:val="00A35450"/>
    <w:rsid w:val="00A376E4"/>
    <w:rsid w:val="00A4059A"/>
    <w:rsid w:val="00A4174F"/>
    <w:rsid w:val="00A423DB"/>
    <w:rsid w:val="00A44DFC"/>
    <w:rsid w:val="00A5034D"/>
    <w:rsid w:val="00A575DC"/>
    <w:rsid w:val="00A604A2"/>
    <w:rsid w:val="00A6600C"/>
    <w:rsid w:val="00A736FA"/>
    <w:rsid w:val="00A757CD"/>
    <w:rsid w:val="00A75B79"/>
    <w:rsid w:val="00A76336"/>
    <w:rsid w:val="00A81BE6"/>
    <w:rsid w:val="00A863F5"/>
    <w:rsid w:val="00A942AA"/>
    <w:rsid w:val="00A942BF"/>
    <w:rsid w:val="00A951DB"/>
    <w:rsid w:val="00A97CBA"/>
    <w:rsid w:val="00AA0CA5"/>
    <w:rsid w:val="00AA1A84"/>
    <w:rsid w:val="00AA47AD"/>
    <w:rsid w:val="00AA6593"/>
    <w:rsid w:val="00AA73DD"/>
    <w:rsid w:val="00AB3B74"/>
    <w:rsid w:val="00AB4A94"/>
    <w:rsid w:val="00AB4B1B"/>
    <w:rsid w:val="00AB5584"/>
    <w:rsid w:val="00AC2303"/>
    <w:rsid w:val="00AD0020"/>
    <w:rsid w:val="00AD6D9F"/>
    <w:rsid w:val="00AD76CF"/>
    <w:rsid w:val="00AF2170"/>
    <w:rsid w:val="00AF35B0"/>
    <w:rsid w:val="00AF5AAF"/>
    <w:rsid w:val="00AF6447"/>
    <w:rsid w:val="00B00271"/>
    <w:rsid w:val="00B05422"/>
    <w:rsid w:val="00B112EB"/>
    <w:rsid w:val="00B11531"/>
    <w:rsid w:val="00B132FE"/>
    <w:rsid w:val="00B13D2A"/>
    <w:rsid w:val="00B179A3"/>
    <w:rsid w:val="00B21579"/>
    <w:rsid w:val="00B22CCE"/>
    <w:rsid w:val="00B347CD"/>
    <w:rsid w:val="00B4039D"/>
    <w:rsid w:val="00B4042D"/>
    <w:rsid w:val="00B417AA"/>
    <w:rsid w:val="00B42B50"/>
    <w:rsid w:val="00B45DDA"/>
    <w:rsid w:val="00B55587"/>
    <w:rsid w:val="00B57C04"/>
    <w:rsid w:val="00B60D54"/>
    <w:rsid w:val="00B644C6"/>
    <w:rsid w:val="00B7193C"/>
    <w:rsid w:val="00B72029"/>
    <w:rsid w:val="00B73328"/>
    <w:rsid w:val="00B75521"/>
    <w:rsid w:val="00B77EA8"/>
    <w:rsid w:val="00B81648"/>
    <w:rsid w:val="00B81A48"/>
    <w:rsid w:val="00B8577A"/>
    <w:rsid w:val="00B95928"/>
    <w:rsid w:val="00B96580"/>
    <w:rsid w:val="00B97A57"/>
    <w:rsid w:val="00BA024D"/>
    <w:rsid w:val="00BA75A5"/>
    <w:rsid w:val="00BB0429"/>
    <w:rsid w:val="00BC3B93"/>
    <w:rsid w:val="00BC5A7E"/>
    <w:rsid w:val="00BC732C"/>
    <w:rsid w:val="00BD0A40"/>
    <w:rsid w:val="00BD19BF"/>
    <w:rsid w:val="00BD1D49"/>
    <w:rsid w:val="00BD75CF"/>
    <w:rsid w:val="00BE3D03"/>
    <w:rsid w:val="00BE6E00"/>
    <w:rsid w:val="00BF2B4E"/>
    <w:rsid w:val="00BF2F91"/>
    <w:rsid w:val="00BF54F1"/>
    <w:rsid w:val="00BF5F15"/>
    <w:rsid w:val="00BF78B3"/>
    <w:rsid w:val="00C00527"/>
    <w:rsid w:val="00C01380"/>
    <w:rsid w:val="00C01E52"/>
    <w:rsid w:val="00C021B8"/>
    <w:rsid w:val="00C02382"/>
    <w:rsid w:val="00C06189"/>
    <w:rsid w:val="00C07F7C"/>
    <w:rsid w:val="00C10CE3"/>
    <w:rsid w:val="00C20CE1"/>
    <w:rsid w:val="00C211B2"/>
    <w:rsid w:val="00C2506D"/>
    <w:rsid w:val="00C318BA"/>
    <w:rsid w:val="00C35ACC"/>
    <w:rsid w:val="00C36562"/>
    <w:rsid w:val="00C4010D"/>
    <w:rsid w:val="00C45D45"/>
    <w:rsid w:val="00C50562"/>
    <w:rsid w:val="00C516CC"/>
    <w:rsid w:val="00C5280F"/>
    <w:rsid w:val="00C53597"/>
    <w:rsid w:val="00C56F12"/>
    <w:rsid w:val="00C56F2E"/>
    <w:rsid w:val="00C637A3"/>
    <w:rsid w:val="00C63C61"/>
    <w:rsid w:val="00C63ECD"/>
    <w:rsid w:val="00C64E3C"/>
    <w:rsid w:val="00C64E41"/>
    <w:rsid w:val="00C6529F"/>
    <w:rsid w:val="00C70713"/>
    <w:rsid w:val="00C743BF"/>
    <w:rsid w:val="00C839AE"/>
    <w:rsid w:val="00C93333"/>
    <w:rsid w:val="00C945E4"/>
    <w:rsid w:val="00C9563F"/>
    <w:rsid w:val="00CA4A4B"/>
    <w:rsid w:val="00CA6150"/>
    <w:rsid w:val="00CA68E2"/>
    <w:rsid w:val="00CB241B"/>
    <w:rsid w:val="00CB708B"/>
    <w:rsid w:val="00CC4E24"/>
    <w:rsid w:val="00CC5080"/>
    <w:rsid w:val="00CC60AD"/>
    <w:rsid w:val="00CC71D2"/>
    <w:rsid w:val="00CD3568"/>
    <w:rsid w:val="00CD62A7"/>
    <w:rsid w:val="00CE07AC"/>
    <w:rsid w:val="00CE26EB"/>
    <w:rsid w:val="00CE3A0E"/>
    <w:rsid w:val="00D00A63"/>
    <w:rsid w:val="00D10FCD"/>
    <w:rsid w:val="00D12E56"/>
    <w:rsid w:val="00D21F0E"/>
    <w:rsid w:val="00D22DDC"/>
    <w:rsid w:val="00D24494"/>
    <w:rsid w:val="00D246F6"/>
    <w:rsid w:val="00D303A0"/>
    <w:rsid w:val="00D3249D"/>
    <w:rsid w:val="00D33085"/>
    <w:rsid w:val="00D35238"/>
    <w:rsid w:val="00D40EDA"/>
    <w:rsid w:val="00D43966"/>
    <w:rsid w:val="00D51038"/>
    <w:rsid w:val="00D606C0"/>
    <w:rsid w:val="00D64668"/>
    <w:rsid w:val="00D6670E"/>
    <w:rsid w:val="00D72E10"/>
    <w:rsid w:val="00D73032"/>
    <w:rsid w:val="00D74261"/>
    <w:rsid w:val="00D773F0"/>
    <w:rsid w:val="00D77A0D"/>
    <w:rsid w:val="00D8081D"/>
    <w:rsid w:val="00D86D60"/>
    <w:rsid w:val="00D94887"/>
    <w:rsid w:val="00D948CE"/>
    <w:rsid w:val="00D967AC"/>
    <w:rsid w:val="00DA2CEE"/>
    <w:rsid w:val="00DA3948"/>
    <w:rsid w:val="00DA3E84"/>
    <w:rsid w:val="00DA4F96"/>
    <w:rsid w:val="00DA7083"/>
    <w:rsid w:val="00DB06D9"/>
    <w:rsid w:val="00DB0E1D"/>
    <w:rsid w:val="00DB4104"/>
    <w:rsid w:val="00DB6B0F"/>
    <w:rsid w:val="00DC2A0D"/>
    <w:rsid w:val="00DC2E58"/>
    <w:rsid w:val="00DC3CEA"/>
    <w:rsid w:val="00DC7AEE"/>
    <w:rsid w:val="00DD129C"/>
    <w:rsid w:val="00DD1A11"/>
    <w:rsid w:val="00DD5BCC"/>
    <w:rsid w:val="00DD5F03"/>
    <w:rsid w:val="00DE0A88"/>
    <w:rsid w:val="00DE2102"/>
    <w:rsid w:val="00DE4077"/>
    <w:rsid w:val="00DE4F09"/>
    <w:rsid w:val="00DF1465"/>
    <w:rsid w:val="00DF3C38"/>
    <w:rsid w:val="00DF4438"/>
    <w:rsid w:val="00DF7821"/>
    <w:rsid w:val="00E02435"/>
    <w:rsid w:val="00E14545"/>
    <w:rsid w:val="00E17806"/>
    <w:rsid w:val="00E25CD4"/>
    <w:rsid w:val="00E31AD7"/>
    <w:rsid w:val="00E32B75"/>
    <w:rsid w:val="00E35C29"/>
    <w:rsid w:val="00E36321"/>
    <w:rsid w:val="00E363B8"/>
    <w:rsid w:val="00E44762"/>
    <w:rsid w:val="00E55A0E"/>
    <w:rsid w:val="00E62AF4"/>
    <w:rsid w:val="00E6677D"/>
    <w:rsid w:val="00E71EC4"/>
    <w:rsid w:val="00E76BCE"/>
    <w:rsid w:val="00E800D0"/>
    <w:rsid w:val="00E82BD3"/>
    <w:rsid w:val="00E841C3"/>
    <w:rsid w:val="00E85320"/>
    <w:rsid w:val="00E86746"/>
    <w:rsid w:val="00E86BC6"/>
    <w:rsid w:val="00E876BE"/>
    <w:rsid w:val="00E905F4"/>
    <w:rsid w:val="00E973AB"/>
    <w:rsid w:val="00E97CBE"/>
    <w:rsid w:val="00EA79C4"/>
    <w:rsid w:val="00EA7BB3"/>
    <w:rsid w:val="00EB3094"/>
    <w:rsid w:val="00EB5B4C"/>
    <w:rsid w:val="00EB5C53"/>
    <w:rsid w:val="00EB772D"/>
    <w:rsid w:val="00EC4998"/>
    <w:rsid w:val="00EC770D"/>
    <w:rsid w:val="00ED72BD"/>
    <w:rsid w:val="00EE0BB9"/>
    <w:rsid w:val="00EE5846"/>
    <w:rsid w:val="00EE6F43"/>
    <w:rsid w:val="00EE710A"/>
    <w:rsid w:val="00EF0E53"/>
    <w:rsid w:val="00EF11BD"/>
    <w:rsid w:val="00EF53B3"/>
    <w:rsid w:val="00EF6446"/>
    <w:rsid w:val="00EF7490"/>
    <w:rsid w:val="00F00FB8"/>
    <w:rsid w:val="00F04A38"/>
    <w:rsid w:val="00F1157B"/>
    <w:rsid w:val="00F11A2E"/>
    <w:rsid w:val="00F15700"/>
    <w:rsid w:val="00F16308"/>
    <w:rsid w:val="00F1738D"/>
    <w:rsid w:val="00F26A71"/>
    <w:rsid w:val="00F31E2D"/>
    <w:rsid w:val="00F34107"/>
    <w:rsid w:val="00F35E47"/>
    <w:rsid w:val="00F427B1"/>
    <w:rsid w:val="00F467E5"/>
    <w:rsid w:val="00F50357"/>
    <w:rsid w:val="00F618B0"/>
    <w:rsid w:val="00F626C4"/>
    <w:rsid w:val="00F62D8A"/>
    <w:rsid w:val="00F7005B"/>
    <w:rsid w:val="00F713DC"/>
    <w:rsid w:val="00F746C1"/>
    <w:rsid w:val="00F748B9"/>
    <w:rsid w:val="00F8157C"/>
    <w:rsid w:val="00F816CC"/>
    <w:rsid w:val="00F85CEE"/>
    <w:rsid w:val="00F907D3"/>
    <w:rsid w:val="00FA2632"/>
    <w:rsid w:val="00FA2E7B"/>
    <w:rsid w:val="00FB1284"/>
    <w:rsid w:val="00FC1617"/>
    <w:rsid w:val="00FC2690"/>
    <w:rsid w:val="00FC32CE"/>
    <w:rsid w:val="00FC6823"/>
    <w:rsid w:val="00FD0D2B"/>
    <w:rsid w:val="00FD283E"/>
    <w:rsid w:val="00FD502D"/>
    <w:rsid w:val="00FD50C8"/>
    <w:rsid w:val="00FD5165"/>
    <w:rsid w:val="00FD555C"/>
    <w:rsid w:val="00FE314F"/>
    <w:rsid w:val="00FE340E"/>
    <w:rsid w:val="00FE658C"/>
    <w:rsid w:val="00FE73CE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FB160F"/>
  <w15:chartTrackingRefBased/>
  <w15:docId w15:val="{169948BB-FC99-47E4-BE09-6A1D0CB9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3085"/>
    <w:pPr>
      <w:spacing w:after="0" w:line="260" w:lineRule="exact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semiHidden/>
    <w:rsid w:val="004A1A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4A1A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4A1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4A1A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4A1A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4A1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4A1A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4A1A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4A1A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4077"/>
    <w:rPr>
      <w:rFonts w:asciiTheme="majorHAnsi" w:eastAsiaTheme="majorEastAsia" w:hAnsiTheme="majorHAnsi" w:cstheme="majorBidi"/>
      <w:b/>
      <w:bCs/>
      <w:color w:val="4472C4" w:themeColor="accent1"/>
      <w:sz w:val="20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407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DE407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407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4077"/>
    <w:rPr>
      <w:rFonts w:asciiTheme="majorHAnsi" w:eastAsiaTheme="majorEastAsia" w:hAnsiTheme="majorHAnsi" w:cstheme="majorBidi"/>
      <w:color w:val="1F3763" w:themeColor="accent1" w:themeShade="7F"/>
      <w:sz w:val="20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4077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4077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407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40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/>
    </w:rPr>
  </w:style>
  <w:style w:type="paragraph" w:customStyle="1" w:styleId="Titel1">
    <w:name w:val="Titel 1"/>
    <w:basedOn w:val="Standard"/>
    <w:next w:val="Standard"/>
    <w:link w:val="Titel1Zchn"/>
    <w:qFormat/>
    <w:rsid w:val="00D72E10"/>
    <w:pPr>
      <w:keepNext/>
      <w:numPr>
        <w:numId w:val="8"/>
      </w:numPr>
      <w:outlineLvl w:val="0"/>
    </w:pPr>
    <w:rPr>
      <w:rFonts w:eastAsiaTheme="majorEastAsia" w:cstheme="majorBidi"/>
      <w:b/>
      <w:bCs/>
      <w:szCs w:val="28"/>
    </w:rPr>
  </w:style>
  <w:style w:type="paragraph" w:customStyle="1" w:styleId="Titel2">
    <w:name w:val="Titel 2"/>
    <w:basedOn w:val="Titel1"/>
    <w:next w:val="Standard"/>
    <w:link w:val="Titel2Zchn"/>
    <w:qFormat/>
    <w:rsid w:val="00D72E10"/>
    <w:pPr>
      <w:numPr>
        <w:ilvl w:val="1"/>
      </w:numPr>
      <w:spacing w:line="240" w:lineRule="auto"/>
      <w:outlineLvl w:val="1"/>
    </w:pPr>
    <w:rPr>
      <w:bCs w:val="0"/>
    </w:rPr>
  </w:style>
  <w:style w:type="paragraph" w:customStyle="1" w:styleId="Titel3">
    <w:name w:val="Titel 3"/>
    <w:basedOn w:val="Titel2"/>
    <w:next w:val="Standard"/>
    <w:link w:val="Titel3Zchn"/>
    <w:qFormat/>
    <w:rsid w:val="00A6600C"/>
    <w:pPr>
      <w:numPr>
        <w:ilvl w:val="2"/>
      </w:numPr>
      <w:outlineLvl w:val="2"/>
    </w:pPr>
    <w:rPr>
      <w:bCs/>
    </w:rPr>
  </w:style>
  <w:style w:type="character" w:customStyle="1" w:styleId="Titel1Zchn">
    <w:name w:val="Titel 1 Zchn"/>
    <w:basedOn w:val="berschrift1Zchn"/>
    <w:link w:val="Titel1"/>
    <w:rsid w:val="00D72E1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de-DE"/>
    </w:rPr>
  </w:style>
  <w:style w:type="character" w:customStyle="1" w:styleId="Titel2Zchn">
    <w:name w:val="Titel 2 Zchn"/>
    <w:basedOn w:val="Titel1Zchn"/>
    <w:link w:val="Titel2"/>
    <w:rsid w:val="00D72E10"/>
    <w:rPr>
      <w:rFonts w:asciiTheme="majorHAnsi" w:eastAsiaTheme="majorEastAsia" w:hAnsiTheme="majorHAnsi" w:cstheme="majorBidi"/>
      <w:b/>
      <w:bCs w:val="0"/>
      <w:color w:val="2F5496" w:themeColor="accent1" w:themeShade="BF"/>
      <w:sz w:val="28"/>
      <w:szCs w:val="28"/>
      <w:lang w:val="de-DE"/>
    </w:rPr>
  </w:style>
  <w:style w:type="paragraph" w:customStyle="1" w:styleId="Titel4">
    <w:name w:val="Titel 4"/>
    <w:basedOn w:val="Titel3"/>
    <w:next w:val="Standard"/>
    <w:link w:val="Titel4Zchn"/>
    <w:qFormat/>
    <w:rsid w:val="00D72E10"/>
    <w:pPr>
      <w:numPr>
        <w:ilvl w:val="3"/>
      </w:numPr>
      <w:outlineLvl w:val="3"/>
    </w:pPr>
    <w:rPr>
      <w:bCs w:val="0"/>
    </w:rPr>
  </w:style>
  <w:style w:type="character" w:customStyle="1" w:styleId="Titel3Zchn">
    <w:name w:val="Titel 3 Zchn"/>
    <w:basedOn w:val="Titel2Zchn"/>
    <w:link w:val="Titel3"/>
    <w:rsid w:val="00A6600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de-DE"/>
    </w:rPr>
  </w:style>
  <w:style w:type="character" w:customStyle="1" w:styleId="Titel4Zchn">
    <w:name w:val="Titel 4 Zchn"/>
    <w:basedOn w:val="Titel3Zchn"/>
    <w:link w:val="Titel4"/>
    <w:rsid w:val="00D72E10"/>
    <w:rPr>
      <w:rFonts w:asciiTheme="majorHAnsi" w:eastAsiaTheme="majorEastAsia" w:hAnsiTheme="majorHAnsi" w:cstheme="majorBidi"/>
      <w:b/>
      <w:bCs w:val="0"/>
      <w:color w:val="2F5496" w:themeColor="accent1" w:themeShade="BF"/>
      <w:sz w:val="28"/>
      <w:szCs w:val="28"/>
      <w:lang w:val="de-DE"/>
    </w:rPr>
  </w:style>
  <w:style w:type="numbering" w:customStyle="1" w:styleId="Formatvorlage1">
    <w:name w:val="Formatvorlage1"/>
    <w:uiPriority w:val="99"/>
    <w:rsid w:val="00BD0A40"/>
    <w:pPr>
      <w:numPr>
        <w:numId w:val="1"/>
      </w:numPr>
    </w:pPr>
  </w:style>
  <w:style w:type="paragraph" w:styleId="Verzeichnis1">
    <w:name w:val="toc 1"/>
    <w:basedOn w:val="Standard"/>
    <w:next w:val="Standard"/>
    <w:autoRedefine/>
    <w:uiPriority w:val="39"/>
    <w:unhideWhenUsed/>
    <w:rsid w:val="00090F4B"/>
    <w:pPr>
      <w:tabs>
        <w:tab w:val="left" w:pos="567"/>
        <w:tab w:val="left" w:pos="720"/>
        <w:tab w:val="right" w:leader="dot" w:pos="9204"/>
      </w:tabs>
      <w:ind w:left="567" w:hanging="567"/>
    </w:pPr>
    <w:rPr>
      <w:rFonts w:ascii="Arial" w:hAnsi="Arial" w:cs="Arial"/>
      <w:b/>
      <w:bCs/>
      <w:noProof/>
      <w:lang w:val="fr-CH"/>
    </w:rPr>
  </w:style>
  <w:style w:type="paragraph" w:customStyle="1" w:styleId="Pfad">
    <w:name w:val="Pfad"/>
    <w:next w:val="Fuzeile"/>
    <w:rsid w:val="00E76BCE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A26AD3"/>
    <w:pPr>
      <w:spacing w:after="100"/>
    </w:pPr>
    <w:rPr>
      <w:noProof/>
    </w:rPr>
  </w:style>
  <w:style w:type="paragraph" w:styleId="Kopfzeile">
    <w:name w:val="header"/>
    <w:aliases w:val="Kopfzeile/Fusszeile"/>
    <w:basedOn w:val="Standard"/>
    <w:link w:val="KopfzeileZchn"/>
    <w:unhideWhenUsed/>
    <w:rsid w:val="00F04A38"/>
    <w:pPr>
      <w:spacing w:line="240" w:lineRule="auto"/>
    </w:pPr>
    <w:rPr>
      <w:sz w:val="15"/>
    </w:rPr>
  </w:style>
  <w:style w:type="paragraph" w:customStyle="1" w:styleId="Titel0ohneNummerierung">
    <w:name w:val="Titel 0 (ohne Nummerierung)"/>
    <w:basedOn w:val="Standard"/>
    <w:link w:val="Titel0ohneNummerierungZchn"/>
    <w:qFormat/>
    <w:rsid w:val="0039067B"/>
    <w:pPr>
      <w:spacing w:after="120"/>
    </w:pPr>
    <w:rPr>
      <w:b/>
      <w:bCs/>
      <w:sz w:val="26"/>
    </w:rPr>
  </w:style>
  <w:style w:type="character" w:customStyle="1" w:styleId="Titel0ohneNummerierungZchn">
    <w:name w:val="Titel 0 (ohne Nummerierung) Zchn"/>
    <w:basedOn w:val="Titel3Zchn"/>
    <w:link w:val="Titel0ohneNummerierung"/>
    <w:rsid w:val="0039067B"/>
    <w:rPr>
      <w:rFonts w:ascii="Arial" w:eastAsiaTheme="majorEastAsia" w:hAnsi="Arial" w:cstheme="majorBidi"/>
      <w:b/>
      <w:bCs/>
      <w:color w:val="2F5496" w:themeColor="accent1" w:themeShade="BF"/>
      <w:sz w:val="26"/>
      <w:szCs w:val="28"/>
      <w:lang w:val="de-DE"/>
    </w:rPr>
  </w:style>
  <w:style w:type="character" w:customStyle="1" w:styleId="KopfzeileZchn">
    <w:name w:val="Kopfzeile Zchn"/>
    <w:aliases w:val="Kopfzeile/Fusszeile Zchn"/>
    <w:basedOn w:val="Absatz-Standardschriftart"/>
    <w:link w:val="Kopfzeile"/>
    <w:rsid w:val="00F04A38"/>
    <w:rPr>
      <w:rFonts w:ascii="Arial" w:hAnsi="Arial"/>
      <w:sz w:val="15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D45F3"/>
    <w:pPr>
      <w:tabs>
        <w:tab w:val="center" w:pos="4536"/>
        <w:tab w:val="right" w:pos="9072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D45F3"/>
    <w:rPr>
      <w:rFonts w:ascii="Arial" w:hAnsi="Arial"/>
      <w:sz w:val="12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1248BB"/>
    <w:pPr>
      <w:ind w:left="210" w:hanging="210"/>
    </w:pPr>
  </w:style>
  <w:style w:type="paragraph" w:styleId="Verzeichnis3">
    <w:name w:val="toc 3"/>
    <w:basedOn w:val="Standard"/>
    <w:next w:val="Standard"/>
    <w:autoRedefine/>
    <w:uiPriority w:val="39"/>
    <w:unhideWhenUsed/>
    <w:rsid w:val="00A26AD3"/>
    <w:pPr>
      <w:tabs>
        <w:tab w:val="left" w:pos="1320"/>
        <w:tab w:val="right" w:leader="dot" w:pos="9458"/>
      </w:tabs>
      <w:spacing w:after="100"/>
    </w:pPr>
    <w:rPr>
      <w:noProof/>
    </w:rPr>
  </w:style>
  <w:style w:type="paragraph" w:customStyle="1" w:styleId="KopfFett">
    <w:name w:val="KopfFett"/>
    <w:basedOn w:val="Kopfzeile"/>
    <w:next w:val="Kopfzeile"/>
    <w:rsid w:val="00971EE3"/>
    <w:pPr>
      <w:suppressAutoHyphens/>
      <w:spacing w:line="200" w:lineRule="exact"/>
      <w:jc w:val="left"/>
    </w:pPr>
    <w:rPr>
      <w:rFonts w:eastAsia="Times New Roman" w:cs="Times New Roman"/>
      <w:b/>
      <w:noProof/>
      <w:szCs w:val="20"/>
      <w:lang w:eastAsia="de-CH"/>
    </w:rPr>
  </w:style>
  <w:style w:type="paragraph" w:customStyle="1" w:styleId="KopfDept">
    <w:name w:val="KopfDept"/>
    <w:basedOn w:val="Kopfzeile"/>
    <w:next w:val="KopfFett"/>
    <w:rsid w:val="00971EE3"/>
    <w:pPr>
      <w:suppressAutoHyphens/>
      <w:spacing w:after="100" w:line="200" w:lineRule="exact"/>
      <w:contextualSpacing/>
      <w:jc w:val="left"/>
    </w:pPr>
    <w:rPr>
      <w:rFonts w:eastAsia="Times New Roman" w:cs="Times New Roman"/>
      <w:noProof/>
      <w:szCs w:val="20"/>
      <w:lang w:eastAsia="de-CH"/>
    </w:rPr>
  </w:style>
  <w:style w:type="paragraph" w:customStyle="1" w:styleId="Logo">
    <w:name w:val="Logo"/>
    <w:rsid w:val="00971EE3"/>
    <w:pPr>
      <w:spacing w:after="0" w:line="260" w:lineRule="atLeast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Post">
    <w:name w:val="Post"/>
    <w:basedOn w:val="Standard"/>
    <w:next w:val="Standard"/>
    <w:rsid w:val="00971EE3"/>
    <w:pPr>
      <w:spacing w:after="140" w:line="200" w:lineRule="exact"/>
      <w:jc w:val="left"/>
    </w:pPr>
    <w:rPr>
      <w:rFonts w:eastAsia="Times New Roman" w:cs="Times New Roman"/>
      <w:sz w:val="14"/>
      <w:szCs w:val="20"/>
      <w:u w:val="single"/>
      <w:lang w:eastAsia="de-CH"/>
    </w:rPr>
  </w:style>
  <w:style w:type="paragraph" w:customStyle="1" w:styleId="Seite">
    <w:name w:val="Seite"/>
    <w:basedOn w:val="Standard"/>
    <w:rsid w:val="00E76BCE"/>
    <w:pPr>
      <w:suppressAutoHyphens/>
      <w:spacing w:line="200" w:lineRule="exact"/>
      <w:jc w:val="right"/>
    </w:pPr>
    <w:rPr>
      <w:rFonts w:eastAsia="Times New Roman" w:cs="Times New Roman"/>
      <w:sz w:val="14"/>
      <w:szCs w:val="14"/>
      <w:lang w:eastAsia="de-CH"/>
    </w:rPr>
  </w:style>
  <w:style w:type="paragraph" w:customStyle="1" w:styleId="VBS-ReferenzInformation">
    <w:name w:val="VBS-ReferenzInformation"/>
    <w:basedOn w:val="Standard"/>
    <w:qFormat/>
    <w:rsid w:val="00971EE3"/>
    <w:pPr>
      <w:suppressAutoHyphens/>
      <w:spacing w:line="240" w:lineRule="auto"/>
      <w:jc w:val="left"/>
    </w:pPr>
    <w:rPr>
      <w:rFonts w:eastAsia="Calibri" w:cs="Times New Roman"/>
      <w:noProof/>
      <w:sz w:val="15"/>
    </w:rPr>
  </w:style>
  <w:style w:type="table" w:styleId="Tabellenraster">
    <w:name w:val="Table Grid"/>
    <w:basedOn w:val="NormaleTabelle"/>
    <w:uiPriority w:val="39"/>
    <w:rsid w:val="00A7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48BB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D5E58"/>
    <w:pPr>
      <w:spacing w:before="120" w:after="120"/>
      <w:jc w:val="left"/>
      <w:outlineLvl w:val="9"/>
    </w:pPr>
    <w:rPr>
      <w:rFonts w:ascii="Segoe UI Semibold" w:hAnsi="Segoe UI Semibold"/>
      <w:b w:val="0"/>
      <w:bCs w:val="0"/>
      <w:color w:val="auto"/>
      <w:sz w:val="20"/>
      <w:szCs w:val="32"/>
      <w:lang w:eastAsia="de-CH"/>
    </w:rPr>
  </w:style>
  <w:style w:type="paragraph" w:customStyle="1" w:styleId="Briefkopfadresse">
    <w:name w:val="Briefkopfadresse"/>
    <w:basedOn w:val="Standard"/>
    <w:rsid w:val="00393D69"/>
    <w:pPr>
      <w:framePr w:wrap="notBeside" w:vAnchor="page" w:hAnchor="text" w:y="3369"/>
      <w:spacing w:line="240" w:lineRule="atLeast"/>
    </w:pPr>
    <w:rPr>
      <w:rFonts w:ascii="Garamond" w:eastAsia="Times New Roman" w:hAnsi="Garamond" w:cs="Times New Roman"/>
      <w:kern w:val="18"/>
      <w:szCs w:val="20"/>
      <w:lang w:eastAsia="de-DE"/>
    </w:rPr>
  </w:style>
  <w:style w:type="paragraph" w:customStyle="1" w:styleId="BeilagenNummeriert">
    <w:name w:val="Beilagen Nummeriert"/>
    <w:basedOn w:val="Standard"/>
    <w:qFormat/>
    <w:rsid w:val="005B0B54"/>
    <w:pPr>
      <w:numPr>
        <w:numId w:val="2"/>
      </w:numPr>
      <w:ind w:left="397" w:hanging="397"/>
      <w:jc w:val="left"/>
    </w:pPr>
    <w:rPr>
      <w:rFonts w:eastAsiaTheme="majorEastAsia" w:cstheme="majorBidi"/>
      <w:bCs/>
      <w:szCs w:val="28"/>
    </w:rPr>
  </w:style>
  <w:style w:type="paragraph" w:customStyle="1" w:styleId="BeilagenAufzhlungszeichen">
    <w:name w:val="Beilagen Aufzählungszeichen"/>
    <w:basedOn w:val="Standard"/>
    <w:qFormat/>
    <w:rsid w:val="00532A0F"/>
    <w:pPr>
      <w:numPr>
        <w:numId w:val="3"/>
      </w:numPr>
      <w:ind w:left="397" w:hanging="397"/>
    </w:pPr>
  </w:style>
  <w:style w:type="character" w:styleId="Platzhaltertext">
    <w:name w:val="Placeholder Text"/>
    <w:basedOn w:val="Absatz-Standardschriftart"/>
    <w:uiPriority w:val="99"/>
    <w:semiHidden/>
    <w:rsid w:val="00173A1D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9A27A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806"/>
    <w:pPr>
      <w:spacing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806"/>
    <w:rPr>
      <w:rFonts w:ascii="Segoe UI" w:hAnsi="Segoe UI" w:cs="Segoe UI"/>
      <w:sz w:val="18"/>
      <w:szCs w:val="18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A7BB3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rsid w:val="00654106"/>
    <w:pPr>
      <w:spacing w:before="240" w:after="240"/>
    </w:pPr>
  </w:style>
  <w:style w:type="character" w:customStyle="1" w:styleId="TextkrperZchn">
    <w:name w:val="Textkörper Zchn"/>
    <w:basedOn w:val="Absatz-Standardschriftart"/>
    <w:link w:val="Textkrper"/>
    <w:rsid w:val="00654106"/>
    <w:rPr>
      <w:rFonts w:ascii="Arial" w:hAnsi="Arial"/>
    </w:rPr>
  </w:style>
  <w:style w:type="character" w:styleId="Seitenzahl">
    <w:name w:val="page number"/>
    <w:basedOn w:val="Absatz-Standardschriftart"/>
    <w:uiPriority w:val="99"/>
    <w:rsid w:val="00271FAA"/>
    <w:rPr>
      <w:rFonts w:ascii="Arial" w:hAnsi="Arial" w:cs="Times New Roman"/>
      <w:color w:val="auto"/>
      <w:sz w:val="14"/>
      <w:vertAlign w:val="baseline"/>
    </w:rPr>
  </w:style>
  <w:style w:type="paragraph" w:customStyle="1" w:styleId="Referenz">
    <w:name w:val="Referenz"/>
    <w:basedOn w:val="Standard"/>
    <w:rsid w:val="00271FAA"/>
    <w:pPr>
      <w:spacing w:line="200" w:lineRule="atLeast"/>
      <w:jc w:val="left"/>
    </w:pPr>
    <w:rPr>
      <w:rFonts w:eastAsia="Times New Roman" w:cs="Times New Roman"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8D1B15"/>
    <w:pPr>
      <w:spacing w:line="200" w:lineRule="exact"/>
      <w:jc w:val="left"/>
    </w:pPr>
    <w:rPr>
      <w:rFonts w:eastAsia="Times New Roman" w:cs="Times New Roman"/>
      <w:sz w:val="15"/>
      <w:szCs w:val="20"/>
      <w:lang w:eastAsia="de-CH"/>
    </w:rPr>
  </w:style>
  <w:style w:type="paragraph" w:styleId="Listenabsatz">
    <w:name w:val="List Paragraph"/>
    <w:basedOn w:val="Standard"/>
    <w:uiPriority w:val="34"/>
    <w:qFormat/>
    <w:rsid w:val="008154F8"/>
    <w:pPr>
      <w:spacing w:after="160" w:line="259" w:lineRule="auto"/>
      <w:ind w:left="720"/>
      <w:contextualSpacing/>
      <w:jc w:val="left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154F8"/>
    <w:pPr>
      <w:spacing w:line="240" w:lineRule="auto"/>
      <w:jc w:val="left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154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154F8"/>
    <w:rPr>
      <w:vertAlign w:val="superscript"/>
    </w:rPr>
  </w:style>
  <w:style w:type="paragraph" w:customStyle="1" w:styleId="Default">
    <w:name w:val="Default"/>
    <w:rsid w:val="00B85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45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45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454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45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454A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57194"/>
    <w:pPr>
      <w:spacing w:after="0" w:line="240" w:lineRule="auto"/>
    </w:pPr>
    <w:rPr>
      <w:rFonts w:ascii="Arial" w:hAnsi="Arial"/>
    </w:rPr>
  </w:style>
  <w:style w:type="paragraph" w:customStyle="1" w:styleId="absatz">
    <w:name w:val="absatz"/>
    <w:basedOn w:val="Standard"/>
    <w:rsid w:val="005131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bsatz0">
    <w:name w:val="Absatz"/>
    <w:link w:val="AbsatzZchn"/>
    <w:rsid w:val="003F1696"/>
    <w:pPr>
      <w:spacing w:before="80" w:after="0" w:line="200" w:lineRule="exact"/>
      <w:jc w:val="both"/>
    </w:pPr>
    <w:rPr>
      <w:rFonts w:ascii="Times New Roman" w:eastAsia="Times New Roman" w:hAnsi="Times New Roman" w:cs="Times New Roman"/>
      <w:sz w:val="18"/>
      <w:szCs w:val="20"/>
      <w:lang w:eastAsia="de-DE"/>
    </w:rPr>
  </w:style>
  <w:style w:type="character" w:customStyle="1" w:styleId="AbsatzZchn">
    <w:name w:val="Absatz Zchn"/>
    <w:link w:val="Absatz0"/>
    <w:rsid w:val="003F1696"/>
    <w:rPr>
      <w:rFonts w:ascii="Times New Roman" w:eastAsia="Times New Roman" w:hAnsi="Times New Roman" w:cs="Times New Roman"/>
      <w:sz w:val="18"/>
      <w:szCs w:val="20"/>
      <w:lang w:eastAsia="de-DE"/>
    </w:rPr>
  </w:style>
  <w:style w:type="paragraph" w:customStyle="1" w:styleId="Tabkrper09pt">
    <w:name w:val="Tabkörper 0/9pt"/>
    <w:rsid w:val="003F1696"/>
    <w:pPr>
      <w:spacing w:after="0" w:line="200" w:lineRule="exact"/>
    </w:pPr>
    <w:rPr>
      <w:rFonts w:ascii="Times New Roman" w:eastAsia="Times New Roman" w:hAnsi="Times New Roman" w:cs="Times New Roman"/>
      <w:sz w:val="18"/>
      <w:szCs w:val="20"/>
      <w:lang w:eastAsia="de-DE"/>
    </w:rPr>
  </w:style>
  <w:style w:type="paragraph" w:customStyle="1" w:styleId="Absatz09pt">
    <w:name w:val="Absatz 0/9pt"/>
    <w:basedOn w:val="Absatz0"/>
    <w:rsid w:val="003F1696"/>
    <w:pPr>
      <w:spacing w:before="0"/>
    </w:pPr>
  </w:style>
  <w:style w:type="paragraph" w:styleId="StandardWeb">
    <w:name w:val="Normal (Web)"/>
    <w:basedOn w:val="Standard"/>
    <w:uiPriority w:val="99"/>
    <w:unhideWhenUsed/>
    <w:rsid w:val="003411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47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823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6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15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7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003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9852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055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086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56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485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2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5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0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4352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1269">
          <w:marLeft w:val="1411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45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274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8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2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470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66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09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39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58090\AppData\Roaming\Microsoft\Templates\Briefvorlage%20CZ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0B3CC-85EF-4D42-98F2-13AD9986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CZD.dotx</Template>
  <TotalTime>0</TotalTime>
  <Pages>12</Pages>
  <Words>2297</Words>
  <Characters>14473</Characters>
  <Application>Microsoft Office Word</Application>
  <DocSecurity>0</DocSecurity>
  <Lines>120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Immenhauser Martin OA</dc:creator>
  <cp:keywords>, docId:7BD379430159F523D3C857B5DCFE1901</cp:keywords>
  <dc:description/>
  <cp:lastModifiedBy>Immenhauser Martin OA</cp:lastModifiedBy>
  <cp:revision>37</cp:revision>
  <cp:lastPrinted>2025-02-21T08:35:00Z</cp:lastPrinted>
  <dcterms:created xsi:type="dcterms:W3CDTF">2025-02-20T16:35:00Z</dcterms:created>
  <dcterms:modified xsi:type="dcterms:W3CDTF">2025-04-17T14:53:00Z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2025-04-17T14:32:26Z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ba26480f-31c9-47a9-9f6e-a2ce9b1cc136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